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04" w:rsidRPr="00FC5F2F" w:rsidRDefault="00BC1204" w:rsidP="00BC1204">
      <w:pPr>
        <w:ind w:left="0"/>
        <w:rPr>
          <w:rFonts w:ascii="Trebuchet MS" w:hAnsi="Trebuchet MS" w:cs="Calibri"/>
          <w:color w:val="365F92"/>
          <w:sz w:val="22"/>
          <w:szCs w:val="22"/>
          <w:lang w:val="fr-FR" w:bidi="ar-SA"/>
        </w:rPr>
      </w:pPr>
      <w:bookmarkStart w:id="0" w:name="_GoBack"/>
      <w:bookmarkEnd w:id="0"/>
      <w:r w:rsidRPr="00FC5F2F">
        <w:rPr>
          <w:rFonts w:ascii="Trebuchet MS" w:hAnsi="Trebuchet MS" w:cs="Calibri"/>
          <w:color w:val="365F92"/>
          <w:sz w:val="22"/>
          <w:szCs w:val="22"/>
          <w:lang w:val="fr-FR" w:bidi="ar-SA"/>
        </w:rPr>
        <w:t xml:space="preserve">                          </w:t>
      </w:r>
      <w:r w:rsidRPr="00FC5F2F">
        <w:rPr>
          <w:rFonts w:ascii="Trebuchet MS" w:hAnsi="Trebuchet MS"/>
          <w:noProof/>
          <w:spacing w:val="-90"/>
          <w:sz w:val="22"/>
          <w:szCs w:val="22"/>
          <w:lang w:val="fr-FR" w:eastAsia="fr-FR" w:bidi="ar-SA"/>
        </w:rPr>
        <w:drawing>
          <wp:inline distT="0" distB="0" distL="0" distR="0" wp14:anchorId="72A3276C" wp14:editId="782C55CA">
            <wp:extent cx="3355888" cy="1105469"/>
            <wp:effectExtent l="19050" t="0" r="0" b="0"/>
            <wp:docPr id="3" name="Image 2" descr="Logos H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HSJ"/>
                    <pic:cNvPicPr>
                      <a:picLocks noChangeAspect="1" noChangeArrowheads="1"/>
                    </pic:cNvPicPr>
                  </pic:nvPicPr>
                  <pic:blipFill>
                    <a:blip r:embed="rId8" cstate="print"/>
                    <a:srcRect/>
                    <a:stretch>
                      <a:fillRect/>
                    </a:stretch>
                  </pic:blipFill>
                  <pic:spPr bwMode="auto">
                    <a:xfrm>
                      <a:off x="0" y="0"/>
                      <a:ext cx="3363057" cy="1107830"/>
                    </a:xfrm>
                    <a:prstGeom prst="rect">
                      <a:avLst/>
                    </a:prstGeom>
                    <a:noFill/>
                  </pic:spPr>
                </pic:pic>
              </a:graphicData>
            </a:graphic>
          </wp:inline>
        </w:drawing>
      </w:r>
    </w:p>
    <w:p w:rsidR="00BC1204" w:rsidRPr="00FC5F2F" w:rsidRDefault="00BC1204" w:rsidP="00BC1204">
      <w:pPr>
        <w:ind w:left="0"/>
        <w:rPr>
          <w:rFonts w:ascii="Trebuchet MS" w:hAnsi="Trebuchet MS" w:cs="Calibri"/>
          <w:color w:val="365F92"/>
          <w:sz w:val="22"/>
          <w:szCs w:val="22"/>
          <w:lang w:val="fr-FR" w:bidi="ar-SA"/>
        </w:rPr>
      </w:pPr>
    </w:p>
    <w:p w:rsidR="00BC1204" w:rsidRPr="00FC5F2F" w:rsidRDefault="00BC1204" w:rsidP="00BC1204">
      <w:pPr>
        <w:ind w:left="0"/>
        <w:rPr>
          <w:rFonts w:ascii="Trebuchet MS" w:hAnsi="Trebuchet MS" w:cs="Calibri"/>
          <w:color w:val="365F92"/>
          <w:sz w:val="22"/>
          <w:szCs w:val="22"/>
          <w:lang w:val="fr-FR" w:bidi="ar-SA"/>
        </w:rPr>
      </w:pPr>
    </w:p>
    <w:p w:rsidR="00BC1204" w:rsidRPr="00FC5F2F" w:rsidRDefault="00BC1204" w:rsidP="00BC1204">
      <w:pPr>
        <w:ind w:left="0"/>
        <w:rPr>
          <w:rFonts w:ascii="Trebuchet MS" w:hAnsi="Trebuchet MS" w:cs="Calibri"/>
          <w:color w:val="365F92"/>
          <w:sz w:val="22"/>
          <w:szCs w:val="22"/>
          <w:lang w:val="fr-FR" w:bidi="ar-SA"/>
        </w:rPr>
      </w:pP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ascii="Trebuchet MS" w:hAnsi="Trebuchet MS" w:cs="Calibri"/>
          <w:b/>
          <w:color w:val="365F92"/>
          <w:sz w:val="40"/>
          <w:szCs w:val="32"/>
          <w:lang w:val="fr-FR" w:bidi="ar-SA"/>
        </w:rPr>
      </w:pPr>
    </w:p>
    <w:p w:rsidR="002E42A7" w:rsidRDefault="002E42A7" w:rsidP="00A17D09">
      <w:pPr>
        <w:pBdr>
          <w:top w:val="single" w:sz="4" w:space="1" w:color="auto"/>
          <w:left w:val="single" w:sz="4" w:space="4" w:color="auto"/>
          <w:bottom w:val="single" w:sz="4" w:space="1" w:color="auto"/>
          <w:right w:val="single" w:sz="4" w:space="4" w:color="auto"/>
        </w:pBdr>
        <w:ind w:left="0"/>
        <w:jc w:val="center"/>
        <w:rPr>
          <w:rFonts w:ascii="Trebuchet MS" w:hAnsi="Trebuchet MS" w:cs="Calibri"/>
          <w:b/>
          <w:color w:val="365F92"/>
          <w:sz w:val="40"/>
          <w:szCs w:val="32"/>
          <w:lang w:val="fr-FR" w:bidi="ar-SA"/>
        </w:rPr>
      </w:pPr>
    </w:p>
    <w:p w:rsidR="00E67236" w:rsidRPr="00E67236" w:rsidRDefault="00E67236" w:rsidP="00E67236">
      <w:pPr>
        <w:pBdr>
          <w:top w:val="single" w:sz="4" w:space="1" w:color="auto"/>
          <w:left w:val="single" w:sz="4" w:space="4" w:color="auto"/>
          <w:bottom w:val="single" w:sz="4" w:space="1" w:color="auto"/>
          <w:right w:val="single" w:sz="4" w:space="4" w:color="auto"/>
        </w:pBdr>
        <w:ind w:left="0"/>
        <w:jc w:val="center"/>
        <w:rPr>
          <w:rFonts w:ascii="Trebuchet MS" w:hAnsi="Trebuchet MS" w:cs="Calibri"/>
          <w:b/>
          <w:color w:val="365F92"/>
          <w:sz w:val="40"/>
          <w:szCs w:val="32"/>
          <w:lang w:val="fr-FR" w:bidi="ar-SA"/>
        </w:rPr>
      </w:pPr>
      <w:r w:rsidRPr="00E67236">
        <w:rPr>
          <w:rFonts w:ascii="Trebuchet MS" w:hAnsi="Trebuchet MS" w:cs="Calibri"/>
          <w:b/>
          <w:color w:val="365F92"/>
          <w:sz w:val="40"/>
          <w:szCs w:val="32"/>
          <w:lang w:val="fr-FR" w:bidi="ar-SA"/>
        </w:rPr>
        <w:t xml:space="preserve">MISSION DE COORDINATION SECURITE ET PROTECTION </w:t>
      </w:r>
    </w:p>
    <w:p w:rsidR="00E67236" w:rsidRDefault="00E67236" w:rsidP="00E67236">
      <w:pPr>
        <w:pBdr>
          <w:top w:val="single" w:sz="4" w:space="1" w:color="auto"/>
          <w:left w:val="single" w:sz="4" w:space="4" w:color="auto"/>
          <w:bottom w:val="single" w:sz="4" w:space="1" w:color="auto"/>
          <w:right w:val="single" w:sz="4" w:space="4" w:color="auto"/>
        </w:pBdr>
        <w:ind w:left="0"/>
        <w:jc w:val="center"/>
        <w:rPr>
          <w:rFonts w:ascii="Trebuchet MS" w:hAnsi="Trebuchet MS" w:cs="Calibri"/>
          <w:b/>
          <w:color w:val="365F92"/>
          <w:sz w:val="40"/>
          <w:szCs w:val="32"/>
          <w:lang w:val="fr-FR" w:bidi="ar-SA"/>
        </w:rPr>
      </w:pPr>
      <w:r w:rsidRPr="00E67236">
        <w:rPr>
          <w:rFonts w:ascii="Trebuchet MS" w:hAnsi="Trebuchet MS" w:cs="Calibri"/>
          <w:b/>
          <w:color w:val="365F92"/>
          <w:sz w:val="40"/>
          <w:szCs w:val="32"/>
          <w:lang w:val="fr-FR" w:bidi="ar-SA"/>
        </w:rPr>
        <w:t>DE LA SANTE DE NIVEAU II</w:t>
      </w:r>
    </w:p>
    <w:p w:rsidR="002E42A7" w:rsidRDefault="00A17D09" w:rsidP="00E67236">
      <w:pPr>
        <w:pBdr>
          <w:top w:val="single" w:sz="4" w:space="1" w:color="auto"/>
          <w:left w:val="single" w:sz="4" w:space="4" w:color="auto"/>
          <w:bottom w:val="single" w:sz="4" w:space="1" w:color="auto"/>
          <w:right w:val="single" w:sz="4" w:space="4" w:color="auto"/>
        </w:pBdr>
        <w:ind w:left="0"/>
        <w:jc w:val="center"/>
        <w:rPr>
          <w:rFonts w:ascii="Trebuchet MS" w:hAnsi="Trebuchet MS" w:cs="Calibri"/>
          <w:b/>
          <w:color w:val="365F92"/>
          <w:sz w:val="40"/>
          <w:szCs w:val="32"/>
          <w:lang w:val="fr-FR" w:bidi="ar-SA"/>
        </w:rPr>
      </w:pPr>
      <w:r>
        <w:rPr>
          <w:rFonts w:ascii="Trebuchet MS" w:hAnsi="Trebuchet MS" w:cs="Calibri"/>
          <w:b/>
          <w:color w:val="365F92"/>
          <w:sz w:val="40"/>
          <w:szCs w:val="32"/>
          <w:lang w:val="fr-FR" w:bidi="ar-SA"/>
        </w:rPr>
        <w:t xml:space="preserve">  pour la Relocalisation </w:t>
      </w:r>
      <w:r w:rsidR="00E67236">
        <w:rPr>
          <w:rFonts w:ascii="Trebuchet MS" w:hAnsi="Trebuchet MS" w:cs="Calibri"/>
          <w:b/>
          <w:color w:val="365F92"/>
          <w:sz w:val="40"/>
          <w:szCs w:val="32"/>
          <w:lang w:val="fr-FR" w:bidi="ar-SA"/>
        </w:rPr>
        <w:t>d</w:t>
      </w:r>
      <w:r>
        <w:rPr>
          <w:rFonts w:ascii="Trebuchet MS" w:hAnsi="Trebuchet MS" w:cs="Calibri"/>
          <w:b/>
          <w:color w:val="365F92"/>
          <w:sz w:val="40"/>
          <w:szCs w:val="32"/>
          <w:lang w:val="fr-FR" w:bidi="ar-SA"/>
        </w:rPr>
        <w:t xml:space="preserve">u </w:t>
      </w: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r>
        <w:rPr>
          <w:rFonts w:ascii="Trebuchet MS" w:hAnsi="Trebuchet MS" w:cs="Calibri"/>
          <w:b/>
          <w:color w:val="365F92"/>
          <w:sz w:val="40"/>
          <w:szCs w:val="32"/>
          <w:lang w:val="fr-FR" w:bidi="ar-SA"/>
        </w:rPr>
        <w:t>Bloc Endoscopique</w:t>
      </w:r>
      <w:r w:rsidRPr="0079020D">
        <w:rPr>
          <w:rFonts w:cs="Calibri"/>
          <w:b/>
          <w:color w:val="365F92"/>
          <w:sz w:val="40"/>
          <w:szCs w:val="32"/>
          <w:lang w:val="fr-FR" w:bidi="ar-SA"/>
        </w:rPr>
        <w:t xml:space="preserve"> </w:t>
      </w:r>
    </w:p>
    <w:p w:rsidR="002E42A7" w:rsidRDefault="002E42A7"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2E42A7" w:rsidRDefault="002E42A7"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r>
        <w:rPr>
          <w:rFonts w:cs="Calibri"/>
          <w:b/>
          <w:color w:val="365F92"/>
          <w:sz w:val="40"/>
          <w:szCs w:val="32"/>
          <w:lang w:val="fr-FR" w:bidi="ar-SA"/>
        </w:rPr>
        <w:t>CCAP</w:t>
      </w: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BC1204" w:rsidRPr="00FC5F2F" w:rsidRDefault="00BC1204" w:rsidP="00BC1204">
      <w:pPr>
        <w:ind w:left="0"/>
        <w:rPr>
          <w:rFonts w:ascii="Trebuchet MS" w:hAnsi="Trebuchet MS" w:cs="Calibri"/>
          <w:color w:val="365F92"/>
          <w:sz w:val="22"/>
          <w:szCs w:val="22"/>
          <w:lang w:val="fr-FR" w:bidi="ar-SA"/>
        </w:rPr>
      </w:pPr>
    </w:p>
    <w:p w:rsidR="00BC1204" w:rsidRPr="00FC5F2F" w:rsidRDefault="00BC1204" w:rsidP="00BC1204">
      <w:pPr>
        <w:ind w:left="0"/>
        <w:rPr>
          <w:rFonts w:ascii="Trebuchet MS" w:hAnsi="Trebuchet MS" w:cs="Calibri"/>
          <w:color w:val="365F92"/>
          <w:sz w:val="22"/>
          <w:szCs w:val="22"/>
          <w:lang w:val="fr-FR" w:bidi="ar-SA"/>
        </w:rPr>
      </w:pPr>
    </w:p>
    <w:p w:rsidR="008A3720" w:rsidRPr="00FC5F2F" w:rsidRDefault="00BC1204" w:rsidP="00E67236">
      <w:pPr>
        <w:ind w:left="0"/>
        <w:rPr>
          <w:rFonts w:ascii="Trebuchet MS" w:hAnsi="Trebuchet MS" w:cs="Calibri,Bold"/>
          <w:b/>
          <w:bCs/>
          <w:color w:val="auto"/>
          <w:sz w:val="22"/>
          <w:szCs w:val="22"/>
          <w:lang w:val="fr-FR" w:bidi="ar-SA"/>
        </w:rPr>
      </w:pPr>
      <w:r w:rsidRPr="00FC5F2F">
        <w:rPr>
          <w:rFonts w:ascii="Trebuchet MS" w:hAnsi="Trebuchet MS" w:cs="Calibri,Bold"/>
          <w:bCs/>
          <w:color w:val="auto"/>
          <w:sz w:val="22"/>
          <w:szCs w:val="22"/>
          <w:lang w:val="fr-FR" w:bidi="ar-SA"/>
        </w:rPr>
        <w:br w:type="page"/>
      </w:r>
      <w:r w:rsidR="008A3720" w:rsidRPr="00FC5F2F">
        <w:rPr>
          <w:rFonts w:ascii="Trebuchet MS" w:hAnsi="Trebuchet MS" w:cs="Calibri,Bold"/>
          <w:b/>
          <w:bCs/>
          <w:color w:val="auto"/>
          <w:sz w:val="22"/>
          <w:szCs w:val="22"/>
          <w:lang w:val="fr-FR" w:bidi="ar-SA"/>
        </w:rPr>
        <w:lastRenderedPageBreak/>
        <w:t xml:space="preserve">1 - </w:t>
      </w:r>
      <w:r w:rsidR="008A3720" w:rsidRPr="00FC5F2F">
        <w:rPr>
          <w:rFonts w:ascii="Trebuchet MS" w:hAnsi="Trebuchet MS" w:cs="Calibri,Bold"/>
          <w:b/>
          <w:bCs/>
          <w:caps/>
          <w:color w:val="auto"/>
          <w:sz w:val="22"/>
          <w:szCs w:val="22"/>
          <w:lang w:val="fr-FR" w:bidi="ar-SA"/>
        </w:rPr>
        <w:t>Dispositions générales du contrat</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pStyle w:val="Paragraphedeliste"/>
        <w:numPr>
          <w:ilvl w:val="1"/>
          <w:numId w:val="1"/>
        </w:numPr>
        <w:autoSpaceDE w:val="0"/>
        <w:autoSpaceDN w:val="0"/>
        <w:adjustRightInd w:val="0"/>
        <w:spacing w:after="0" w:line="240" w:lineRule="auto"/>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Objet du contrat</w:t>
      </w:r>
    </w:p>
    <w:p w:rsidR="008A3720" w:rsidRPr="00FC5F2F"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stipulations du présent Cahier des clauses administratives particulières (CCAP) concernent :</w:t>
      </w:r>
    </w:p>
    <w:p w:rsidR="001D1ADE" w:rsidRPr="00FC5F2F" w:rsidRDefault="001D1ADE"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La mission de coordination Sécurité et Protection de la santé (CSPS) niveau 2 de l’opération «Relocalisation Extension </w:t>
      </w:r>
      <w:r>
        <w:rPr>
          <w:rFonts w:ascii="Trebuchet MS" w:hAnsi="Trebuchet MS" w:cs="Calibri"/>
          <w:color w:val="auto"/>
          <w:sz w:val="22"/>
          <w:szCs w:val="22"/>
          <w:lang w:val="fr-FR" w:bidi="ar-SA"/>
        </w:rPr>
        <w:t>d</w:t>
      </w:r>
      <w:r w:rsidRPr="00FC5F2F">
        <w:rPr>
          <w:rFonts w:ascii="Trebuchet MS" w:hAnsi="Trebuchet MS" w:cs="Calibri"/>
          <w:color w:val="auto"/>
          <w:sz w:val="22"/>
          <w:szCs w:val="22"/>
          <w:lang w:val="fr-FR" w:bidi="ar-SA"/>
        </w:rPr>
        <w:t xml:space="preserve">u Bloc </w:t>
      </w:r>
      <w:r>
        <w:rPr>
          <w:rFonts w:ascii="Trebuchet MS" w:hAnsi="Trebuchet MS" w:cs="Calibri"/>
          <w:color w:val="auto"/>
          <w:sz w:val="22"/>
          <w:szCs w:val="22"/>
          <w:lang w:val="fr-FR" w:bidi="ar-SA"/>
        </w:rPr>
        <w:t>e</w:t>
      </w:r>
      <w:r w:rsidRPr="00FC5F2F">
        <w:rPr>
          <w:rFonts w:ascii="Trebuchet MS" w:hAnsi="Trebuchet MS" w:cs="Calibri"/>
          <w:color w:val="auto"/>
          <w:sz w:val="22"/>
          <w:szCs w:val="22"/>
          <w:lang w:val="fr-FR" w:bidi="ar-SA"/>
        </w:rPr>
        <w:t>ndoscopique».</w:t>
      </w:r>
    </w:p>
    <w:p w:rsidR="00FC5F2F" w:rsidRPr="00FC5F2F" w:rsidRDefault="00FC5F2F" w:rsidP="00FC5F2F">
      <w:pPr>
        <w:autoSpaceDE w:val="0"/>
        <w:autoSpaceDN w:val="0"/>
        <w:adjustRightInd w:val="0"/>
        <w:spacing w:after="0" w:line="240" w:lineRule="auto"/>
        <w:ind w:left="0"/>
        <w:jc w:val="center"/>
        <w:rPr>
          <w:rFonts w:ascii="Trebuchet MS" w:hAnsi="Trebuchet MS" w:cs="Calibri"/>
          <w:color w:val="auto"/>
          <w:sz w:val="22"/>
          <w:szCs w:val="22"/>
          <w:lang w:val="fr-FR" w:bidi="ar-SA"/>
        </w:rPr>
      </w:pP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1.2 - Conducteur de l’étude</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études de conception seront conduites par les services techniques de l’</w:t>
      </w:r>
      <w:r w:rsidR="00580129" w:rsidRPr="00FC5F2F">
        <w:rPr>
          <w:rFonts w:ascii="Trebuchet MS" w:hAnsi="Trebuchet MS" w:cs="Calibri"/>
          <w:color w:val="auto"/>
          <w:sz w:val="22"/>
          <w:szCs w:val="22"/>
          <w:lang w:val="fr-FR" w:bidi="ar-SA"/>
        </w:rPr>
        <w:t>hôpital</w:t>
      </w:r>
      <w:r w:rsidRPr="00FC5F2F">
        <w:rPr>
          <w:rFonts w:ascii="Trebuchet MS" w:hAnsi="Trebuchet MS" w:cs="Calibri"/>
          <w:color w:val="auto"/>
          <w:sz w:val="22"/>
          <w:szCs w:val="22"/>
          <w:lang w:val="fr-FR" w:bidi="ar-SA"/>
        </w:rPr>
        <w:t xml:space="preserve"> avec l’assistance d’un AMO et d’un ATMO en cours de désignation</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1.3 - Contenu détaillé des études</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études confiées au groupement sont :</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Etudes de Projet</w:t>
      </w:r>
    </w:p>
    <w:p w:rsid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Etudes d’Exécution</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1.4 - Durée du marché</w:t>
      </w:r>
    </w:p>
    <w:p w:rsid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La durée du marché se confond avec le délai d’exécution indiqué à l’acte d’engagement.</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p>
    <w:p w:rsidR="00FC5F2F" w:rsidRPr="00FC5F2F" w:rsidRDefault="00FC5F2F" w:rsidP="00FC5F2F">
      <w:pPr>
        <w:pStyle w:val="Paragraphedeliste"/>
        <w:numPr>
          <w:ilvl w:val="0"/>
          <w:numId w:val="1"/>
        </w:numPr>
        <w:autoSpaceDE w:val="0"/>
        <w:autoSpaceDN w:val="0"/>
        <w:adjustRightInd w:val="0"/>
        <w:spacing w:after="0" w:line="240" w:lineRule="auto"/>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 PIECES CONSTITUTIVES DU MARCHE</w:t>
      </w:r>
    </w:p>
    <w:p w:rsidR="00FC5F2F" w:rsidRPr="00FC5F2F" w:rsidRDefault="00FC5F2F" w:rsidP="00FC5F2F">
      <w:pPr>
        <w:pStyle w:val="Paragraphedeliste"/>
        <w:autoSpaceDE w:val="0"/>
        <w:autoSpaceDN w:val="0"/>
        <w:adjustRightInd w:val="0"/>
        <w:spacing w:after="0" w:line="240" w:lineRule="auto"/>
        <w:ind w:left="360"/>
        <w:jc w:val="both"/>
        <w:rPr>
          <w:rFonts w:ascii="Trebuchet MS" w:hAnsi="Trebuchet MS" w:cs="Calibri,Bold"/>
          <w:b/>
          <w:bCs/>
          <w:color w:val="auto"/>
          <w:sz w:val="22"/>
          <w:szCs w:val="22"/>
          <w:lang w:val="fr-FR" w:bidi="ar-SA"/>
        </w:rPr>
      </w:pP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pièces constitutives du marché sont les suivantes par ordre de priorité :</w:t>
      </w:r>
    </w:p>
    <w:p w:rsid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L’acte d’engagement (A.E.) et ses annexes</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Le présent cahier des clauses administratives particulières (C.C.A.P.)</w:t>
      </w:r>
    </w:p>
    <w:p w:rsid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Le cahier des clauses techniques particulières (C.C.T.P.)</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Pr>
          <w:rFonts w:ascii="Trebuchet MS" w:hAnsi="Trebuchet MS" w:cs="Calibri"/>
          <w:color w:val="auto"/>
          <w:sz w:val="22"/>
          <w:szCs w:val="22"/>
          <w:lang w:val="fr-FR" w:bidi="ar-SA"/>
        </w:rPr>
        <w:t>Le mémoire justificatif</w:t>
      </w:r>
    </w:p>
    <w:p w:rsidR="001D1ADE"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Le cahier des clauses administratives générales (C.C.A.G.) </w:t>
      </w:r>
      <w:r>
        <w:rPr>
          <w:rFonts w:ascii="Trebuchet MS" w:hAnsi="Trebuchet MS" w:cs="Calibri"/>
          <w:color w:val="auto"/>
          <w:sz w:val="22"/>
          <w:szCs w:val="22"/>
          <w:lang w:val="fr-FR" w:bidi="ar-SA"/>
        </w:rPr>
        <w:t xml:space="preserve">applicables aux marchés publics </w:t>
      </w:r>
      <w:r w:rsidRPr="00FC5F2F">
        <w:rPr>
          <w:rFonts w:ascii="Trebuchet MS" w:hAnsi="Trebuchet MS" w:cs="Calibri"/>
          <w:color w:val="auto"/>
          <w:sz w:val="22"/>
          <w:szCs w:val="22"/>
          <w:lang w:val="fr-FR" w:bidi="ar-SA"/>
        </w:rPr>
        <w:t>de prestations intellectuelles, approuvé par l’arrêté du 16 septembre 2009</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Lieu(x) d'exécution :</w:t>
      </w:r>
      <w:r w:rsidR="00553BEC" w:rsidRPr="00FC5F2F">
        <w:rPr>
          <w:rFonts w:ascii="Trebuchet MS" w:hAnsi="Trebuchet MS" w:cs="Calibri"/>
          <w:color w:val="auto"/>
          <w:sz w:val="22"/>
          <w:szCs w:val="22"/>
          <w:lang w:val="fr-FR" w:bidi="ar-SA"/>
        </w:rPr>
        <w:t xml:space="preserve"> Hôpital St Joseph à Marseille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pStyle w:val="Paragraphedeliste"/>
        <w:numPr>
          <w:ilvl w:val="0"/>
          <w:numId w:val="1"/>
        </w:numPr>
        <w:autoSpaceDE w:val="0"/>
        <w:autoSpaceDN w:val="0"/>
        <w:adjustRightInd w:val="0"/>
        <w:spacing w:after="0" w:line="240" w:lineRule="auto"/>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 xml:space="preserve">- </w:t>
      </w:r>
      <w:r w:rsidRPr="00FC5F2F">
        <w:rPr>
          <w:rFonts w:ascii="Trebuchet MS" w:hAnsi="Trebuchet MS" w:cs="Calibri,Bold"/>
          <w:b/>
          <w:bCs/>
          <w:caps/>
          <w:color w:val="auto"/>
          <w:sz w:val="22"/>
          <w:szCs w:val="22"/>
          <w:lang w:val="fr-FR" w:bidi="ar-SA"/>
        </w:rPr>
        <w:t>Durée et délais d'exécution</w:t>
      </w:r>
    </w:p>
    <w:p w:rsidR="008A3720" w:rsidRPr="00FC5F2F"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sz w:val="22"/>
          <w:szCs w:val="22"/>
          <w:lang w:val="fr-FR" w:bidi="ar-SA"/>
        </w:rPr>
      </w:pPr>
    </w:p>
    <w:p w:rsidR="00FC5F2F" w:rsidRDefault="00FC5F2F"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Les délais d’exécution de l’ensemble des études sont stipulés à l’acte d’engagement.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L'exécution des prestations débute à compter de la date de notification du contrat.</w:t>
      </w:r>
    </w:p>
    <w:p w:rsidR="008A3720"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Une prolongation du délai d'exécution peut être accordée par le pouvoir adjudicateur dans les conditions de l'article 13.3 du CCAG-PI.</w:t>
      </w:r>
    </w:p>
    <w:p w:rsidR="00AD4E0D" w:rsidRDefault="00AD4E0D" w:rsidP="00AD4E0D">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CD0C24">
        <w:rPr>
          <w:rFonts w:ascii="Trebuchet MS" w:hAnsi="Trebuchet MS" w:cs="Calibri"/>
          <w:color w:val="auto"/>
          <w:sz w:val="22"/>
          <w:szCs w:val="22"/>
          <w:lang w:val="fr-FR" w:bidi="ar-SA"/>
        </w:rPr>
        <w:t xml:space="preserve">À titre indicatif, le début de l’intervention du </w:t>
      </w:r>
      <w:r>
        <w:rPr>
          <w:rFonts w:ascii="Trebuchet MS" w:hAnsi="Trebuchet MS" w:cs="Calibri"/>
          <w:color w:val="auto"/>
          <w:sz w:val="22"/>
          <w:szCs w:val="22"/>
          <w:lang w:val="fr-FR" w:bidi="ar-SA"/>
        </w:rPr>
        <w:t>CSPS</w:t>
      </w:r>
      <w:r w:rsidRPr="00CD0C24">
        <w:rPr>
          <w:rFonts w:ascii="Trebuchet MS" w:hAnsi="Trebuchet MS" w:cs="Calibri"/>
          <w:color w:val="auto"/>
          <w:sz w:val="22"/>
          <w:szCs w:val="22"/>
          <w:lang w:val="fr-FR" w:bidi="ar-SA"/>
        </w:rPr>
        <w:t xml:space="preserve"> est prévu </w:t>
      </w:r>
      <w:r>
        <w:rPr>
          <w:rFonts w:ascii="Trebuchet MS" w:hAnsi="Trebuchet MS" w:cs="Calibri"/>
          <w:color w:val="auto"/>
          <w:sz w:val="22"/>
          <w:szCs w:val="22"/>
          <w:lang w:val="fr-FR" w:bidi="ar-SA"/>
        </w:rPr>
        <w:t xml:space="preserve">à partir du </w:t>
      </w:r>
      <w:r w:rsidRPr="00CD0C24">
        <w:rPr>
          <w:rFonts w:ascii="Trebuchet MS" w:hAnsi="Trebuchet MS" w:cs="Calibri"/>
          <w:color w:val="auto"/>
          <w:sz w:val="22"/>
          <w:szCs w:val="22"/>
          <w:lang w:val="fr-FR" w:bidi="ar-SA"/>
        </w:rPr>
        <w:t xml:space="preserve"> mois </w:t>
      </w:r>
      <w:r>
        <w:rPr>
          <w:rFonts w:ascii="Trebuchet MS" w:hAnsi="Trebuchet MS" w:cs="Calibri"/>
          <w:color w:val="auto"/>
          <w:sz w:val="22"/>
          <w:szCs w:val="22"/>
          <w:lang w:val="fr-FR" w:bidi="ar-SA"/>
        </w:rPr>
        <w:t xml:space="preserve">de Mai </w:t>
      </w:r>
      <w:r w:rsidRPr="00CD0C24">
        <w:rPr>
          <w:rFonts w:ascii="Trebuchet MS" w:hAnsi="Trebuchet MS" w:cs="Calibri"/>
          <w:color w:val="auto"/>
          <w:sz w:val="22"/>
          <w:szCs w:val="22"/>
          <w:lang w:val="fr-FR" w:bidi="ar-SA"/>
        </w:rPr>
        <w:t xml:space="preserve"> 201</w:t>
      </w:r>
      <w:r>
        <w:rPr>
          <w:rFonts w:ascii="Trebuchet MS" w:hAnsi="Trebuchet MS" w:cs="Calibri"/>
          <w:color w:val="auto"/>
          <w:sz w:val="22"/>
          <w:szCs w:val="22"/>
          <w:lang w:val="fr-FR" w:bidi="ar-SA"/>
        </w:rPr>
        <w:t>8</w:t>
      </w:r>
      <w:r w:rsidRPr="00CD0C24">
        <w:rPr>
          <w:rFonts w:ascii="Trebuchet MS" w:hAnsi="Trebuchet MS" w:cs="Calibri"/>
          <w:color w:val="auto"/>
          <w:sz w:val="22"/>
          <w:szCs w:val="22"/>
          <w:lang w:val="fr-FR" w:bidi="ar-SA"/>
        </w:rPr>
        <w:t>. La durée prévisionnelle de la phase de conception est de 2 mois et celle de la phase réalisation est de 1</w:t>
      </w:r>
      <w:r>
        <w:rPr>
          <w:rFonts w:ascii="Trebuchet MS" w:hAnsi="Trebuchet MS" w:cs="Calibri"/>
          <w:color w:val="auto"/>
          <w:sz w:val="22"/>
          <w:szCs w:val="22"/>
          <w:lang w:val="fr-FR" w:bidi="ar-SA"/>
        </w:rPr>
        <w:t>4</w:t>
      </w:r>
      <w:r w:rsidRPr="00CD0C24">
        <w:rPr>
          <w:rFonts w:ascii="Trebuchet MS" w:hAnsi="Trebuchet MS" w:cs="Calibri"/>
          <w:color w:val="auto"/>
          <w:sz w:val="22"/>
          <w:szCs w:val="22"/>
          <w:lang w:val="fr-FR" w:bidi="ar-SA"/>
        </w:rPr>
        <w:t xml:space="preserve"> mois (maximum)</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La période de Garantie de Parfait Achèvement</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 xml:space="preserve">est de 12 mois. </w:t>
      </w:r>
      <w:r w:rsidRPr="00CD0C24">
        <w:rPr>
          <w:rFonts w:ascii="Trebuchet MS" w:hAnsi="Trebuchet MS" w:cs="Calibri"/>
          <w:color w:val="auto"/>
          <w:sz w:val="22"/>
          <w:szCs w:val="22"/>
          <w:lang w:val="fr-FR" w:bidi="ar-SA"/>
        </w:rPr>
        <w:cr/>
      </w:r>
    </w:p>
    <w:p w:rsidR="00FC5F2F" w:rsidRPr="00FC5F2F" w:rsidRDefault="00FC5F2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FC5F2F" w:rsidRPr="00FC5F2F" w:rsidRDefault="00FC5F2F" w:rsidP="00FC5F2F">
      <w:pPr>
        <w:pStyle w:val="Paragraphedeliste"/>
        <w:numPr>
          <w:ilvl w:val="0"/>
          <w:numId w:val="1"/>
        </w:numPr>
        <w:autoSpaceDE w:val="0"/>
        <w:autoSpaceDN w:val="0"/>
        <w:adjustRightInd w:val="0"/>
        <w:spacing w:after="0" w:line="240" w:lineRule="auto"/>
        <w:jc w:val="both"/>
        <w:rPr>
          <w:rFonts w:ascii="Trebuchet MS" w:hAnsi="Trebuchet MS" w:cs="Calibri,Bold"/>
          <w:b/>
          <w:bCs/>
          <w:color w:val="auto"/>
          <w:sz w:val="22"/>
          <w:szCs w:val="22"/>
          <w:lang w:val="fr-FR" w:bidi="ar-SA"/>
        </w:rPr>
      </w:pPr>
      <w:r>
        <w:rPr>
          <w:rFonts w:ascii="Trebuchet MS" w:hAnsi="Trebuchet MS" w:cs="Calibri,Bold"/>
          <w:b/>
          <w:bCs/>
          <w:color w:val="auto"/>
          <w:sz w:val="22"/>
          <w:szCs w:val="22"/>
          <w:lang w:val="fr-FR" w:bidi="ar-SA"/>
        </w:rPr>
        <w:t xml:space="preserve">- </w:t>
      </w:r>
      <w:r w:rsidRPr="00FC5F2F">
        <w:rPr>
          <w:rFonts w:ascii="Trebuchet MS" w:hAnsi="Trebuchet MS" w:cs="Calibri,Bold"/>
          <w:b/>
          <w:bCs/>
          <w:color w:val="auto"/>
          <w:sz w:val="22"/>
          <w:szCs w:val="22"/>
          <w:lang w:val="fr-FR" w:bidi="ar-SA"/>
        </w:rPr>
        <w:t>CONDITIONS D’EXECUTION DES ETUDES</w:t>
      </w: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4.1 Autorité du coordonnateur SPS</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xml:space="preserve">Le coordonnateur SPS doit informer le maître d’ouvrage et le maître d’œuvre sans délai, et par tous moyens, de toute violation par les intervenants, y compris les entreprises, des mesures de coordination qu’il a définies ainsi que des procédures de travail et des </w:t>
      </w:r>
      <w:r w:rsidRPr="00FC5F2F">
        <w:rPr>
          <w:rFonts w:ascii="Trebuchet MS" w:hAnsi="Trebuchet MS" w:cs="Calibri,Bold"/>
          <w:bCs/>
          <w:color w:val="auto"/>
          <w:sz w:val="22"/>
          <w:szCs w:val="22"/>
          <w:lang w:val="fr-FR" w:bidi="ar-SA"/>
        </w:rPr>
        <w:lastRenderedPageBreak/>
        <w:t>obligations réglementaires en matière de sécurité et de protection de la santé des travailleurs sur les chantiers.</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Il est fait mention de ces violations dans le Registre-Journal de la Coordination (RJC).</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Cette information doit être confirmée par écrit.</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En cas de danger(s) grave(s) menaçant la sécurité ou la santé d’un intervenant ou d’un tiers (tels que chute de hauteur, ensevelissement, ...) le coordonnateur SPS doit prendre les mesures nécessaires pour supprimer le danger;</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Il peut, à ce titre, arrêter les mesures nécessaires pour supprimer le danger.</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Il peut, à ce titre, arrêter tout ou partie du chantier.</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La notification de ces arrêts est consignée au Registre-journal. Les reprises, décidées par le maître d’ouvrage, après avis du coordonnateur SPS, sont également consignées dans le registre journal.</w:t>
      </w: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Tout différend entre le coordonnateur SPS et l’un des intervenants cités à l’article 1 du présent CCAP est soumis au maître d’ouvrage.</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4.2 Moyens donnés au coordonnateur CSPS</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4.2.1. - Libre accès</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Le coordonnateur SPS a libre accès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au chantier en respectant les principes de sécurité ;</w:t>
      </w: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au bureau de chantier et au matériel mis à disposition de l’équipe de Conception pour ses différentes réunions.</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4.2.2. - Obligation du maître d’ouvrage</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Le Maître d’ouvrage communique au coordonnateur SPS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Avant de les approuver, tous les documents d’études relatifs à l’ “ Elément Projet ”.</w:t>
      </w:r>
    </w:p>
    <w:p w:rsidR="008A3720"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Au fur et à mesure de leurs désignations, les noms et missions des intervenants mentionnés à l’article 1 du présent CC</w:t>
      </w:r>
      <w:r>
        <w:rPr>
          <w:rFonts w:ascii="Trebuchet MS" w:hAnsi="Trebuchet MS" w:cs="Calibri,Bold"/>
          <w:bCs/>
          <w:color w:val="auto"/>
          <w:sz w:val="22"/>
          <w:szCs w:val="22"/>
          <w:lang w:val="fr-FR" w:bidi="ar-SA"/>
        </w:rPr>
        <w:t>A</w:t>
      </w:r>
      <w:r w:rsidRPr="00FC5F2F">
        <w:rPr>
          <w:rFonts w:ascii="Trebuchet MS" w:hAnsi="Trebuchet MS" w:cs="Calibri,Bold"/>
          <w:bCs/>
          <w:color w:val="auto"/>
          <w:sz w:val="22"/>
          <w:szCs w:val="22"/>
          <w:lang w:val="fr-FR" w:bidi="ar-SA"/>
        </w:rPr>
        <w:t>P ainsi que des entrepreneurs et de leurs sous-traitants éventuels. Il tient à sa disposition leurs contrats.</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Le maître d’ouvrage remet au coordonnateur SPS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Tous les documents nécessaires à l’établissement du Dossier d’Intervention Ultérieures sur l’Ouvrage (DIUO), notamment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Le Dossier des Ouvrages Exécutés (DOE) dès qu’il est établi ;</w:t>
      </w: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Le maître d’ouvrage informe le coordonnateur des réunions qu’il organise auxquelles ce dernier est systématiquement invité sans qu’une convocation formelle lui soit adressée. Il est destinataire des comptes rendus de ces réunions.</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4.2.3 - Disposition prise par le maître d’ouvrage</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Le maître d’ouvrage prend toutes les dispositions pour faire communiquer au coordonnateur SPS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L’ensemble des documents relatifs à la sécurité et la protection de la santé des travailleurs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Tous les documents d’exécution des ouvrages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Les calendriers de l’exécution de l’ensemble des travaux, y compris les travaux de levée de réserves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L’ensemble des documents et ordres de services relatifs à la sécurité et à la protection de la santé des travailleurs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La copie des déclarations d’accidents de travail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Par les différents cocontractants du maître d’ouvrage, la liste, tenue à jour, des personnes qu’ils autorisent à accéder au chantier ;</w:t>
      </w: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Par les différents titulaires des contrats de travaux qu’il a conclus, les effectifs prévisionnels affectés au chantier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Le maître d’ouvrage prend également toutes mesures pour que soit informé le coordonnateur SPS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xml:space="preserve"> De toutes les réunions organisées par le groupement de Conception-Réalisation ayant trait à la conception du projet et à son ordonnancement auxquelles il est </w:t>
      </w:r>
      <w:r w:rsidRPr="00FC5F2F">
        <w:rPr>
          <w:rFonts w:ascii="Trebuchet MS" w:hAnsi="Trebuchet MS" w:cs="Calibri,Bold"/>
          <w:bCs/>
          <w:color w:val="auto"/>
          <w:sz w:val="22"/>
          <w:szCs w:val="22"/>
          <w:lang w:val="fr-FR" w:bidi="ar-SA"/>
        </w:rPr>
        <w:lastRenderedPageBreak/>
        <w:t>systématiquement invité sans qu’une convocation formelle lui soit adressée. Il est destinataire des comptes rendus de ces réunions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De l’intervention de toute entreprise au titre de la “ garantie de parfait achèvement ” (GPA) prévue par l’article 44.1 du CCAG Travaux.</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Il prend également toutes dispositions pour que le coordonnateur SPS puisse se faire communique tous autres documents et informations, nécessaire au bon déroulement de sa mission, par les différents intervenants concernés (entreprises, concepteur, bureau de contrôle technique, etc..) et en particulier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Les mesures d’organisation générale du chantier envisagées par le groupement en vue de leur intégration dans le Plan Général de Coordination en matière de Sécurité et de Protection de la Santé ;</w:t>
      </w: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Par les entreprises, tout document qu’il juge utile pour examiner les Plans Particuliers de Sécurité et de protection de la Santé des travailleurs (PPSPS) ;</w:t>
      </w: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4.3 - Conditions d’exécution</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A compter des dates fixées à l’article 3 du décret n° 94-1159 du 26 décembre 1994, la personne physique désignée par le titulaire pour exercer la mission de coordination en matière de SPS doit, en permanence pendant toute la durée du marché, posséder l’attestation requise par l’article R. 238-13 du Code du travail sous peine de résiliation immédiate du marché aux torts du titulaire.</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Le titulaire ne peut remplacer la personne physique qu’à l’occasion de l’indisponibilité temporaire ou définitive de celle-ci, qui n’est pas du fait du titulaire.</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La nouvelle personne physique affectée à la mission par le titulaire doit être acceptée par le maître d’ouvrage.</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Par dérogation à l’article 5 du CCAG-PI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Le titulaire propose au maître d’ouvrage une nouvelle personne physique dans un délai de 7 jours</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à compter de la date d’envoi de l’avis prévu au premier alinéa de l’article 5 du CCAG-PI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L’accord du maître d’ouvrage sur l’identité de la nouvelle personne physique doit être impérativement formalisé par une décision écrite de la personne responsable du marché. Cette substitution de la personne physique fait ensuite l’objet d’un avenant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si le Maître d’ouvrage sur l’identité de la nouvelle personne physique doit être impérativement formalisé par une décision écrite de la personne responsable du marché. Cette substitution de la personne physique fait ensuite l’objet d’un avenant ;</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Si le Maître d’ouvrage refuse le remplaçant, le titulaire dispose de 7 jours à compter de ce refus pour lui proposer une autre personne physique. A défaut ou si le maître d’ouvrage récuse également ce remplaçant la résiliation du marché est prononcée dans les conditions de l’article 39 du CCAG-PI.</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Le coordonnateur SPS, ou à défaut le titulaire, assure le passage des consignes et la transmission des documents qu’il a rédigés ou reçus, à tout nouveau coordonnateur désigné pour le remplacer ou lui succéder, ou à défaut au maître d’ouvrage. Il établit pour cela un procès-verbal dans un délai de “ nombre ” jours à compter de la demande du maître d’ouvrage.</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Le nouveau coordonnateur SPS accuse réception de l’ensemble des documents relatifs à la Sécurité et la Protection de la Santé des travailleurs.</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Dès que le programme d’exécution des travaux est établi, le coordonnateur SPS remet au maître d’ouvrage son programme prévisionnel d’intervention sur le chantier. En tout état de cause il participe à toutes les réunions, en particulier de chantier, nécessaires à la bonne exécution de sa mission. A la fin de chaque mois, il remet au maître d’ouvrage un compte rendu d’avancement de l’exécution de sa mission et notamment :</w:t>
      </w: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Dès l’ouverture du chantier, un exemplaire du Registre-Journal de la Coordination et du PGC est consultable.</w:t>
      </w:r>
    </w:p>
    <w:p w:rsidR="00FC5F2F"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FC5F2F">
      <w:pPr>
        <w:pStyle w:val="Paragraphedeliste"/>
        <w:numPr>
          <w:ilvl w:val="0"/>
          <w:numId w:val="1"/>
        </w:numPr>
        <w:autoSpaceDE w:val="0"/>
        <w:autoSpaceDN w:val="0"/>
        <w:adjustRightInd w:val="0"/>
        <w:spacing w:after="0" w:line="240" w:lineRule="auto"/>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 xml:space="preserve">- </w:t>
      </w:r>
      <w:r w:rsidR="00FC5F2F" w:rsidRPr="00FC5F2F">
        <w:rPr>
          <w:rFonts w:ascii="Trebuchet MS" w:hAnsi="Trebuchet MS" w:cs="Calibri,Bold"/>
          <w:b/>
          <w:bCs/>
          <w:color w:val="auto"/>
          <w:sz w:val="22"/>
          <w:szCs w:val="22"/>
          <w:lang w:val="fr-FR" w:bidi="ar-SA"/>
        </w:rPr>
        <w:t>PRIX</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Pr>
          <w:rFonts w:ascii="Trebuchet MS" w:hAnsi="Trebuchet MS" w:cs="Calibri,Bold"/>
          <w:bCs/>
          <w:color w:val="auto"/>
          <w:sz w:val="22"/>
          <w:szCs w:val="22"/>
          <w:lang w:val="fr-FR" w:bidi="ar-SA"/>
        </w:rPr>
        <w:lastRenderedPageBreak/>
        <w:t>5</w:t>
      </w:r>
      <w:r w:rsidR="008A3720" w:rsidRPr="00FC5F2F">
        <w:rPr>
          <w:rFonts w:ascii="Trebuchet MS" w:hAnsi="Trebuchet MS" w:cs="Calibri,Bold"/>
          <w:bCs/>
          <w:color w:val="auto"/>
          <w:sz w:val="22"/>
          <w:szCs w:val="22"/>
          <w:lang w:val="fr-FR" w:bidi="ar-SA"/>
        </w:rPr>
        <w:t>.1 - Caractéristiques des prix pratiqués</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prestations sont réglées par des prix forfaitaires selon les stipulations de l'acte d'engagement.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prix unitaires concernent exclusivement les prestations éventuelles à la 1/2j de vacation</w:t>
      </w:r>
    </w:p>
    <w:p w:rsidR="002A09E9" w:rsidRPr="00FC5F2F" w:rsidRDefault="002A09E9"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FC5F2F"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Pr>
          <w:rFonts w:ascii="Trebuchet MS" w:hAnsi="Trebuchet MS" w:cs="Calibri,Bold"/>
          <w:bCs/>
          <w:color w:val="auto"/>
          <w:sz w:val="22"/>
          <w:szCs w:val="22"/>
          <w:lang w:val="fr-FR" w:bidi="ar-SA"/>
        </w:rPr>
        <w:t>5</w:t>
      </w:r>
      <w:r w:rsidR="008A3720" w:rsidRPr="00FC5F2F">
        <w:rPr>
          <w:rFonts w:ascii="Trebuchet MS" w:hAnsi="Trebuchet MS" w:cs="Calibri,Bold"/>
          <w:bCs/>
          <w:color w:val="auto"/>
          <w:sz w:val="22"/>
          <w:szCs w:val="22"/>
          <w:lang w:val="fr-FR" w:bidi="ar-SA"/>
        </w:rPr>
        <w:t>.2 - Modalités de variation des prix</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prix sont fermes et non actualisables.</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Pr>
          <w:rFonts w:ascii="Trebuchet MS" w:hAnsi="Trebuchet MS" w:cs="Calibri,Bold"/>
          <w:bCs/>
          <w:color w:val="auto"/>
          <w:sz w:val="22"/>
          <w:szCs w:val="22"/>
          <w:lang w:val="fr-FR" w:bidi="ar-SA"/>
        </w:rPr>
        <w:t>5.3</w:t>
      </w:r>
      <w:r w:rsidR="008A3720" w:rsidRPr="00FC5F2F">
        <w:rPr>
          <w:rFonts w:ascii="Trebuchet MS" w:hAnsi="Trebuchet MS" w:cs="Calibri,Bold"/>
          <w:bCs/>
          <w:color w:val="auto"/>
          <w:sz w:val="22"/>
          <w:szCs w:val="22"/>
          <w:lang w:val="fr-FR" w:bidi="ar-SA"/>
        </w:rPr>
        <w:t>- Garanties Financières</w:t>
      </w:r>
    </w:p>
    <w:p w:rsidR="00553BEC" w:rsidRPr="00FC5F2F" w:rsidRDefault="00553BEC" w:rsidP="00553BEC">
      <w:pPr>
        <w:pStyle w:val="Paragraphedeliste"/>
        <w:autoSpaceDE w:val="0"/>
        <w:autoSpaceDN w:val="0"/>
        <w:adjustRightInd w:val="0"/>
        <w:spacing w:after="0" w:line="240" w:lineRule="auto"/>
        <w:ind w:left="36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Aucune clause de garantie financière ne sera appliquée.</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2A09E9">
      <w:pPr>
        <w:pStyle w:val="Paragraphedeliste"/>
        <w:numPr>
          <w:ilvl w:val="0"/>
          <w:numId w:val="10"/>
        </w:numPr>
        <w:autoSpaceDE w:val="0"/>
        <w:autoSpaceDN w:val="0"/>
        <w:adjustRightInd w:val="0"/>
        <w:spacing w:after="0" w:line="240" w:lineRule="auto"/>
        <w:jc w:val="both"/>
        <w:rPr>
          <w:rFonts w:ascii="Trebuchet MS" w:hAnsi="Trebuchet MS" w:cs="Calibri,Bold"/>
          <w:b/>
          <w:bCs/>
          <w:color w:val="auto"/>
          <w:sz w:val="22"/>
          <w:szCs w:val="22"/>
          <w:lang w:val="fr-FR" w:bidi="ar-SA"/>
        </w:rPr>
      </w:pPr>
      <w:r w:rsidRPr="00FC5F2F">
        <w:rPr>
          <w:rFonts w:ascii="Trebuchet MS" w:hAnsi="Trebuchet MS" w:cs="Calibri,Bold"/>
          <w:b/>
          <w:bCs/>
          <w:caps/>
          <w:color w:val="auto"/>
          <w:sz w:val="22"/>
          <w:szCs w:val="22"/>
          <w:lang w:val="fr-FR" w:bidi="ar-SA"/>
        </w:rPr>
        <w:t>Avance</w:t>
      </w:r>
    </w:p>
    <w:p w:rsidR="00553BEC" w:rsidRPr="00FC5F2F" w:rsidRDefault="00553BEC" w:rsidP="00553BEC">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553BEC">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Sans objet</w:t>
      </w:r>
    </w:p>
    <w:p w:rsidR="00553BEC" w:rsidRPr="00FC5F2F" w:rsidRDefault="00553BEC" w:rsidP="00553BEC">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6</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Modalités de règlement des comptes</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.1 - Acomptes et paiements partiels définitifs</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modalités de règlement des comptes sont les suivantes :</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Les demandes d'acomptes devront être présentées </w:t>
      </w:r>
      <w:r w:rsidR="00245DEF" w:rsidRPr="00FC5F2F">
        <w:rPr>
          <w:rFonts w:ascii="Trebuchet MS" w:hAnsi="Trebuchet MS" w:cs="Calibri"/>
          <w:color w:val="auto"/>
          <w:sz w:val="22"/>
          <w:szCs w:val="22"/>
          <w:lang w:val="fr-FR" w:bidi="ar-SA"/>
        </w:rPr>
        <w:t>à l’HSJ</w:t>
      </w:r>
      <w:r w:rsidRPr="00FC5F2F">
        <w:rPr>
          <w:rFonts w:ascii="Trebuchet MS" w:hAnsi="Trebuchet MS" w:cs="Calibri"/>
          <w:color w:val="auto"/>
          <w:sz w:val="22"/>
          <w:szCs w:val="22"/>
          <w:lang w:val="fr-FR" w:bidi="ar-SA"/>
        </w:rPr>
        <w:t xml:space="preserve"> et seront réglées par lui.</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Elles seront établies compte tenu de l'avancement des missions par phase et ne pourront être présentées qu'à la réception de chaque phase par la Maîtrise d'ouvrage.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refus, d'ajournement d'une phase, le titulaire devra reprendre les études pour aboutir à une acceptation de celle-ci par la Maîtrise d'ouvrage. Le titulaire pourra alors présenter sa demande d'acompte avec à l'appui l'acceptation du Maître d'ouvrage.</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.2 - Pourcentage de rémunération par élément</w:t>
      </w:r>
    </w:p>
    <w:p w:rsidR="008A3720" w:rsidRPr="00FC5F2F" w:rsidRDefault="008A3720" w:rsidP="008A3720">
      <w:pPr>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Sans objet</w:t>
      </w: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.3 - Présentation des demandes de paiement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Les demandes de paiement seront présentées selon les conditions prévues à l'article 11.4 du CCAG-PI et seront établies en un original et </w:t>
      </w:r>
      <w:r w:rsidR="00245DEF" w:rsidRPr="00FC5F2F">
        <w:rPr>
          <w:rFonts w:ascii="Trebuchet MS" w:hAnsi="Trebuchet MS" w:cs="Calibri"/>
          <w:color w:val="auto"/>
          <w:sz w:val="22"/>
          <w:szCs w:val="22"/>
          <w:lang w:val="fr-FR" w:bidi="ar-SA"/>
        </w:rPr>
        <w:t>1</w:t>
      </w:r>
      <w:r w:rsidRPr="00FC5F2F">
        <w:rPr>
          <w:rFonts w:ascii="Trebuchet MS" w:hAnsi="Trebuchet MS" w:cs="Calibri"/>
          <w:color w:val="auto"/>
          <w:sz w:val="22"/>
          <w:szCs w:val="22"/>
          <w:lang w:val="fr-FR" w:bidi="ar-SA"/>
        </w:rPr>
        <w:t xml:space="preserve"> copie</w:t>
      </w:r>
      <w:r w:rsidR="00CC14F7"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portant, outre les mentions légales, les indications suivantes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nom ou la raison sociale du créancier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cas échéant, le numéro de SIREN ou de SIRET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numéro du compte bancaire ou postal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le numéro du </w:t>
      </w:r>
      <w:r w:rsidR="00245DEF" w:rsidRPr="00FC5F2F">
        <w:rPr>
          <w:rFonts w:ascii="Trebuchet MS" w:hAnsi="Trebuchet MS" w:cs="Calibri"/>
          <w:color w:val="auto"/>
          <w:sz w:val="22"/>
          <w:szCs w:val="22"/>
          <w:lang w:val="fr-FR" w:bidi="ar-SA"/>
        </w:rPr>
        <w:t>bon de commande</w:t>
      </w:r>
      <w:r w:rsidRPr="00FC5F2F">
        <w:rPr>
          <w:rFonts w:ascii="Trebuchet MS" w:hAnsi="Trebuchet MS" w:cs="Calibri"/>
          <w:color w:val="auto"/>
          <w:sz w:val="22"/>
          <w:szCs w:val="22"/>
          <w:lang w:val="fr-FR" w:bidi="ar-SA"/>
        </w:rPr>
        <w:t xml:space="preserve">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la désignation de l'organisme débiteur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la date d'exécution des prestations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montant des prestations admises, établi conformément à la décomposition des prix forfaitaires, hors TVA et, le cas échéant, diminué des réfactions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montant des prestations admises, établi conformément au détail des prix unitaires, hors TVA et, le cas échéant, diminué des réfactions</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montants et taux de TVA légalement applicables ou, le cas échéant, le bénéfice d'une exonération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montant total TTC des prestations livrées ou exécutées (incluant, le cas échéant le montant de la TVA des travaux exécutés par le ou les sous-traitants)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la date de facturation.</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groupement conjoint, pour chaque opérateur économique, le montant des prestations effectuées par l'opérateur économique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lastRenderedPageBreak/>
        <w:t>en cas de sous-traitance, la nature des prestations exécutées par le sous-traitant, leur montant total hors taxes, ainsi que, le cas échéant, les variations de prix établies HT ;</w:t>
      </w:r>
    </w:p>
    <w:p w:rsidR="00553BEC" w:rsidRPr="00FC5F2F" w:rsidRDefault="00553BEC"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demandes de paiement devront parvenir à l'adresse suivante :</w:t>
      </w:r>
    </w:p>
    <w:p w:rsidR="00F7356B" w:rsidRPr="00FC5F2F" w:rsidRDefault="001D1ADE"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Hôpital</w:t>
      </w:r>
      <w:r w:rsidR="00F7356B" w:rsidRPr="00FC5F2F">
        <w:rPr>
          <w:rFonts w:ascii="Trebuchet MS" w:hAnsi="Trebuchet MS" w:cs="Calibri"/>
          <w:color w:val="auto"/>
          <w:sz w:val="22"/>
          <w:szCs w:val="22"/>
          <w:lang w:val="fr-FR" w:bidi="ar-SA"/>
        </w:rPr>
        <w:t xml:space="preserve"> Saint Joseph </w:t>
      </w:r>
    </w:p>
    <w:p w:rsidR="008A3720" w:rsidRPr="00FC5F2F" w:rsidRDefault="00F7356B"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Pôle </w:t>
      </w:r>
      <w:r w:rsidR="001D1ADE" w:rsidRPr="00FC5F2F">
        <w:rPr>
          <w:rFonts w:ascii="Trebuchet MS" w:hAnsi="Trebuchet MS" w:cs="Calibri"/>
          <w:color w:val="auto"/>
          <w:sz w:val="22"/>
          <w:szCs w:val="22"/>
          <w:lang w:val="fr-FR" w:bidi="ar-SA"/>
        </w:rPr>
        <w:t>Ressources Mat</w:t>
      </w:r>
      <w:r w:rsidRPr="00FC5F2F">
        <w:rPr>
          <w:rFonts w:ascii="Trebuchet MS" w:hAnsi="Trebuchet MS" w:cs="Calibri"/>
          <w:color w:val="auto"/>
          <w:sz w:val="22"/>
          <w:szCs w:val="22"/>
          <w:lang w:val="fr-FR" w:bidi="ar-SA"/>
        </w:rPr>
        <w:t>érielles</w:t>
      </w:r>
    </w:p>
    <w:p w:rsidR="001D1ADE" w:rsidRPr="00FC5F2F" w:rsidRDefault="00F7356B"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26 bd de Louvain </w:t>
      </w:r>
    </w:p>
    <w:p w:rsidR="00F7356B" w:rsidRPr="00FC5F2F" w:rsidRDefault="00F7356B"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13285 Marseille Cedex 0</w:t>
      </w:r>
      <w:r w:rsidR="00FB0D47" w:rsidRPr="00FC5F2F">
        <w:rPr>
          <w:rFonts w:ascii="Trebuchet MS" w:hAnsi="Trebuchet MS" w:cs="Calibri"/>
          <w:color w:val="auto"/>
          <w:sz w:val="22"/>
          <w:szCs w:val="22"/>
          <w:lang w:val="fr-FR" w:bidi="ar-SA"/>
        </w:rPr>
        <w:t>8</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245DEF" w:rsidRPr="00FC5F2F" w:rsidRDefault="00245DE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245DEF" w:rsidRPr="00FC5F2F" w:rsidRDefault="00245DE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245DEF" w:rsidRPr="00FC5F2F" w:rsidRDefault="00245DE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.4 - Délai global de paiement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Les sommes dues au(x) titulaire(s) seront payées dans un délai global de </w:t>
      </w:r>
      <w:r w:rsidR="008746B1" w:rsidRPr="00FC5F2F">
        <w:rPr>
          <w:rFonts w:ascii="Trebuchet MS" w:hAnsi="Trebuchet MS" w:cs="Calibri"/>
          <w:color w:val="auto"/>
          <w:sz w:val="22"/>
          <w:szCs w:val="22"/>
          <w:lang w:val="fr-FR" w:bidi="ar-SA"/>
        </w:rPr>
        <w:t>60</w:t>
      </w:r>
      <w:r w:rsidRPr="00FC5F2F">
        <w:rPr>
          <w:rFonts w:ascii="Trebuchet MS" w:hAnsi="Trebuchet MS" w:cs="Calibri"/>
          <w:color w:val="auto"/>
          <w:sz w:val="22"/>
          <w:szCs w:val="22"/>
          <w:lang w:val="fr-FR" w:bidi="ar-SA"/>
        </w:rPr>
        <w:t xml:space="preserve"> jours à compter de la date de réception des demandes de paiement.</w:t>
      </w:r>
    </w:p>
    <w:p w:rsidR="00553BEC"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En cas de retard de paiement, le titulaire a droit au versement d'intérêts moratoires, ainsi qu'à une indemnité forfaitaire pour frais de recouvrement d'un montant de 40 €. </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.5 - Paiement des cotraitants</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groupement conjoint, chaque membre du groupement perçoit directement les sommes se rapportant à l'exécution de ses propres prestations. En cas de groupement solidaire, le paiement est effectué sur un compte unique, ouvert au nom du mandataire.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autres dispositions relatives à la cotraitance s'appliquent selon l'article 12.1 du CCAG-PI.</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.6 - Paiement des sous-traitants</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sous-traitant adresse sa demande de paiement libellée au nom du pouvoir adjudicateur au titulaire du marché, sous pli recommandé avec accusé de réception, ou la dépose auprès du titulaire contre récépissé. Le titulaire a 15 jours pour faire savoir s'il accepte ou refuse le paiement au sous-traitant. Cette décision est notifiée au sous-traitant et au pouvoir adjudicateur. Le sous-traitant adresse également sa demande de paiement au pouvoir adjudicateur accompagnée des factures et de l'accusé de réception ou du récépissé attestant que le titulaire a bien reçu la demande, ou de l'avis postal attestant que le pli a été refusé ou n'a pas été réclamé. Le pouvoir adjudicateur adresse sans délai au titulaire une copie des factures produites par le sous-traitant.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paiement du sous-traitant s'effectue dans le respect du délai global de paiement. Ce délai court à compter de la réception par le pouvoir adjudicateur de l'accord, total ou partiel, du titulaire sur le paiement demandé, ou de l'expiration du délai de 15 jours mentionné plus haut si, pendant ce délai, le titulaire n'a notifié aucun accord ni aucun refus, ou encore de la réception par le pouvoir adjudicateur de l'avis postal mentionné ci-dessus. Le pouvoir adjudicateur informe le titulaire des paiements qu'il effectue au sous-traitant.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cotraitance, si le titulaire qui a conclu le contrat de sous-traitance n'est pas le mandataire du groupement, ce dernier doit également signer la demande de paiement.</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7</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Conditions d'exécution des prestations</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lastRenderedPageBreak/>
        <w:t>Les prestations devront être conformes aux stipulations du contrat (les normes et spécifications techniques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applicables étant celles en vigueur à la date du contrat).</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7</w:t>
      </w:r>
      <w:r w:rsidR="008A3720" w:rsidRPr="00FC5F2F">
        <w:rPr>
          <w:rFonts w:ascii="Trebuchet MS" w:hAnsi="Trebuchet MS" w:cs="Calibri,Bold"/>
          <w:bCs/>
          <w:color w:val="auto"/>
          <w:sz w:val="22"/>
          <w:szCs w:val="22"/>
          <w:lang w:val="fr-FR" w:bidi="ar-SA"/>
        </w:rPr>
        <w:t>.1 - Présentation des livrables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livrables sont adressés dans les conditions suivantes :</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A la fin de réalisation de chaque phase, le titulaire remettra </w:t>
      </w:r>
      <w:r w:rsidR="00DB683C" w:rsidRPr="00FC5F2F">
        <w:rPr>
          <w:rFonts w:ascii="Trebuchet MS" w:hAnsi="Trebuchet MS" w:cs="Calibri"/>
          <w:color w:val="auto"/>
          <w:sz w:val="22"/>
          <w:szCs w:val="22"/>
          <w:lang w:val="fr-FR" w:bidi="ar-SA"/>
        </w:rPr>
        <w:t>2 exemplaire(s) des</w:t>
      </w:r>
      <w:r w:rsidRPr="00FC5F2F">
        <w:rPr>
          <w:rFonts w:ascii="Trebuchet MS" w:hAnsi="Trebuchet MS" w:cs="Calibri"/>
          <w:color w:val="auto"/>
          <w:sz w:val="22"/>
          <w:szCs w:val="22"/>
          <w:lang w:val="fr-FR" w:bidi="ar-SA"/>
        </w:rPr>
        <w:t xml:space="preserve"> document</w:t>
      </w:r>
      <w:r w:rsidR="00DB683C" w:rsidRPr="00FC5F2F">
        <w:rPr>
          <w:rFonts w:ascii="Trebuchet MS" w:hAnsi="Trebuchet MS" w:cs="Calibri"/>
          <w:color w:val="auto"/>
          <w:sz w:val="22"/>
          <w:szCs w:val="22"/>
          <w:lang w:val="fr-FR" w:bidi="ar-SA"/>
        </w:rPr>
        <w:t>s</w:t>
      </w:r>
      <w:r w:rsidRPr="00FC5F2F">
        <w:rPr>
          <w:rFonts w:ascii="Trebuchet MS" w:hAnsi="Trebuchet MS" w:cs="Calibri"/>
          <w:color w:val="auto"/>
          <w:sz w:val="22"/>
          <w:szCs w:val="22"/>
          <w:lang w:val="fr-FR" w:bidi="ar-SA"/>
        </w:rPr>
        <w:t xml:space="preserve"> </w:t>
      </w:r>
      <w:r w:rsidR="007A6FC2" w:rsidRPr="00FC5F2F">
        <w:rPr>
          <w:rFonts w:ascii="Trebuchet MS" w:hAnsi="Trebuchet MS" w:cs="Calibri"/>
          <w:color w:val="auto"/>
          <w:sz w:val="22"/>
          <w:szCs w:val="22"/>
          <w:lang w:val="fr-FR" w:bidi="ar-SA"/>
        </w:rPr>
        <w:t>conformes</w:t>
      </w:r>
      <w:r w:rsidRPr="00FC5F2F">
        <w:rPr>
          <w:rFonts w:ascii="Trebuchet MS" w:hAnsi="Trebuchet MS" w:cs="Calibri"/>
          <w:color w:val="auto"/>
          <w:sz w:val="22"/>
          <w:szCs w:val="22"/>
          <w:lang w:val="fr-FR" w:bidi="ar-SA"/>
        </w:rPr>
        <w:t xml:space="preserve"> aux attentes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exprimées dans le CCTP</w:t>
      </w:r>
      <w:r w:rsidR="007A6FC2" w:rsidRPr="00FC5F2F">
        <w:rPr>
          <w:rFonts w:ascii="Trebuchet MS" w:hAnsi="Trebuchet MS" w:cs="Calibri"/>
          <w:color w:val="auto"/>
          <w:sz w:val="22"/>
          <w:szCs w:val="22"/>
          <w:lang w:val="fr-FR" w:bidi="ar-SA"/>
        </w:rPr>
        <w:t xml:space="preserve"> pour le maitre d’ouvrage.</w:t>
      </w:r>
    </w:p>
    <w:p w:rsidR="00903452" w:rsidRPr="00FC5F2F" w:rsidRDefault="00903452" w:rsidP="00903452">
      <w:pPr>
        <w:pStyle w:val="Paragraphedeliste"/>
        <w:autoSpaceDE w:val="0"/>
        <w:autoSpaceDN w:val="0"/>
        <w:adjustRightInd w:val="0"/>
        <w:spacing w:after="0" w:line="240" w:lineRule="auto"/>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7</w:t>
      </w:r>
      <w:r w:rsidR="00903452" w:rsidRPr="00FC5F2F">
        <w:rPr>
          <w:rFonts w:ascii="Trebuchet MS" w:hAnsi="Trebuchet MS" w:cs="Calibri,Bold"/>
          <w:bCs/>
          <w:color w:val="auto"/>
          <w:sz w:val="22"/>
          <w:szCs w:val="22"/>
          <w:lang w:val="fr-FR" w:bidi="ar-SA"/>
        </w:rPr>
        <w:t>.2 - Modifications technique</w:t>
      </w:r>
      <w:r w:rsidR="00F7356B" w:rsidRPr="00FC5F2F">
        <w:rPr>
          <w:rFonts w:ascii="Trebuchet MS" w:hAnsi="Trebuchet MS" w:cs="Calibri,Bold"/>
          <w:bCs/>
          <w:color w:val="auto"/>
          <w:sz w:val="22"/>
          <w:szCs w:val="22"/>
          <w:lang w:val="fr-FR" w:bidi="ar-SA"/>
        </w:rPr>
        <w:t>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Pendant l'exécution du contrat, le pouvoir adjudicateur peut prescrire au titulaire des modifications de caractère</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technique ou accepter les modifications qu'il propose. La formulation de ces modifications suite à l'acceptation par le</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pouvoir adjudicateur du devis détaillé du titulaire donne lieu à un avenant.</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7</w:t>
      </w:r>
      <w:r w:rsidR="008A3720" w:rsidRPr="00FC5F2F">
        <w:rPr>
          <w:rFonts w:ascii="Trebuchet MS" w:hAnsi="Trebuchet MS" w:cs="Calibri,Bold"/>
          <w:bCs/>
          <w:color w:val="auto"/>
          <w:sz w:val="22"/>
          <w:szCs w:val="22"/>
          <w:lang w:val="fr-FR" w:bidi="ar-SA"/>
        </w:rPr>
        <w:t>.3 - Arrêt de l'exécution des prestations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application de l'article 20 du CCAG-PI le pouvoir adjudicateur se réserve la possibilité d'arrêter l'exécution des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interventions qui font l'objet du contrat, à l'issue de chaque phase</w:t>
      </w:r>
      <w:r w:rsidR="008746B1" w:rsidRPr="00FC5F2F">
        <w:rPr>
          <w:rFonts w:ascii="Trebuchet MS" w:hAnsi="Trebuchet MS" w:cs="Calibri"/>
          <w:color w:val="auto"/>
          <w:sz w:val="22"/>
          <w:szCs w:val="22"/>
          <w:lang w:val="fr-FR" w:bidi="ar-SA"/>
        </w:rPr>
        <w:t xml:space="preserve"> du prestataire définie au CCAP sans indemnité particulière.</w:t>
      </w:r>
    </w:p>
    <w:p w:rsidR="008746B1" w:rsidRPr="00FC5F2F" w:rsidRDefault="008746B1"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8</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Droit de propriété industrielle et intellectuelle</w:t>
      </w:r>
    </w:p>
    <w:p w:rsidR="00BC1204" w:rsidRPr="00FC5F2F" w:rsidRDefault="00BC1204"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L'option retenue concernant l'utilisation des résultats et précisant les droits respectifs du pouvoir adjudicateur et du</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titulaire est l'option A telle que définie au chapitre 5 du CCAG-PI.</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9</w:t>
      </w:r>
      <w:r w:rsidR="008A3720" w:rsidRPr="00FC5F2F">
        <w:rPr>
          <w:rFonts w:ascii="Trebuchet MS" w:hAnsi="Trebuchet MS" w:cs="Calibri,Bold"/>
          <w:b/>
          <w:bCs/>
          <w:color w:val="auto"/>
          <w:sz w:val="22"/>
          <w:szCs w:val="22"/>
          <w:lang w:val="fr-FR" w:bidi="ar-SA"/>
        </w:rPr>
        <w:t xml:space="preserve"> </w:t>
      </w:r>
      <w:r w:rsidR="008A3720" w:rsidRPr="00FC5F2F">
        <w:rPr>
          <w:rFonts w:ascii="Trebuchet MS" w:hAnsi="Trebuchet MS" w:cs="Calibri,Bold"/>
          <w:b/>
          <w:bCs/>
          <w:caps/>
          <w:color w:val="auto"/>
          <w:sz w:val="22"/>
          <w:szCs w:val="22"/>
          <w:lang w:val="fr-FR" w:bidi="ar-SA"/>
        </w:rPr>
        <w:t>- Constatation de l'exécution des prestations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9</w:t>
      </w:r>
      <w:r w:rsidR="008A3720" w:rsidRPr="00FC5F2F">
        <w:rPr>
          <w:rFonts w:ascii="Trebuchet MS" w:hAnsi="Trebuchet MS" w:cs="Calibri,Bold"/>
          <w:bCs/>
          <w:color w:val="auto"/>
          <w:sz w:val="22"/>
          <w:szCs w:val="22"/>
          <w:lang w:val="fr-FR" w:bidi="ar-SA"/>
        </w:rPr>
        <w:t xml:space="preserve">.1 </w:t>
      </w:r>
      <w:r w:rsidR="00903452" w:rsidRPr="00FC5F2F">
        <w:rPr>
          <w:rFonts w:ascii="Trebuchet MS" w:hAnsi="Trebuchet MS" w:cs="Calibri,Bold"/>
          <w:bCs/>
          <w:color w:val="auto"/>
          <w:sz w:val="22"/>
          <w:szCs w:val="22"/>
          <w:lang w:val="fr-FR" w:bidi="ar-SA"/>
        </w:rPr>
        <w:t>–</w:t>
      </w:r>
      <w:r w:rsidR="008A3720" w:rsidRPr="00FC5F2F">
        <w:rPr>
          <w:rFonts w:ascii="Trebuchet MS" w:hAnsi="Trebuchet MS" w:cs="Calibri,Bold"/>
          <w:bCs/>
          <w:color w:val="auto"/>
          <w:sz w:val="22"/>
          <w:szCs w:val="22"/>
          <w:lang w:val="fr-FR" w:bidi="ar-SA"/>
        </w:rPr>
        <w:t xml:space="preserve"> Vérifications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vérifications seront effectuées dans un délai de 15 jours à compter de la date de livraison, conformément aux</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articles 26 et 27 du CCAG-PI (à l'exception du délai).</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9</w:t>
      </w:r>
      <w:r w:rsidR="008A3720" w:rsidRPr="00FC5F2F">
        <w:rPr>
          <w:rFonts w:ascii="Trebuchet MS" w:hAnsi="Trebuchet MS" w:cs="Calibri,Bold"/>
          <w:bCs/>
          <w:color w:val="auto"/>
          <w:sz w:val="22"/>
          <w:szCs w:val="22"/>
          <w:lang w:val="fr-FR" w:bidi="ar-SA"/>
        </w:rPr>
        <w:t>.2 - Décision après vérification</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A l'issue des opérations de vérification, le pouvoir adjudicateur prendra sa décision dans les conditions prévues à</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l'article 27 du CCAG-PI.</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aps/>
          <w:color w:val="auto"/>
          <w:sz w:val="22"/>
          <w:szCs w:val="22"/>
          <w:lang w:val="fr-FR" w:bidi="ar-SA"/>
        </w:rPr>
      </w:pPr>
      <w:r w:rsidRPr="00FC5F2F">
        <w:rPr>
          <w:rFonts w:ascii="Trebuchet MS" w:hAnsi="Trebuchet MS" w:cs="Calibri,Bold"/>
          <w:b/>
          <w:bCs/>
          <w:color w:val="auto"/>
          <w:sz w:val="22"/>
          <w:szCs w:val="22"/>
          <w:lang w:val="fr-FR" w:bidi="ar-SA"/>
        </w:rPr>
        <w:t>10</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Garantie des prestations</w:t>
      </w:r>
    </w:p>
    <w:p w:rsidR="00BC1204"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Aucune garantie n'est prévue.</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11</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Pénalités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1</w:t>
      </w:r>
      <w:r w:rsidR="00BC1204" w:rsidRPr="00FC5F2F">
        <w:rPr>
          <w:rFonts w:ascii="Trebuchet MS" w:hAnsi="Trebuchet MS" w:cs="Calibri,Bold"/>
          <w:bCs/>
          <w:color w:val="auto"/>
          <w:sz w:val="22"/>
          <w:szCs w:val="22"/>
          <w:lang w:val="fr-FR" w:bidi="ar-SA"/>
        </w:rPr>
        <w:t>1</w:t>
      </w:r>
      <w:r w:rsidRPr="00FC5F2F">
        <w:rPr>
          <w:rFonts w:ascii="Trebuchet MS" w:hAnsi="Trebuchet MS" w:cs="Calibri,Bold"/>
          <w:bCs/>
          <w:color w:val="auto"/>
          <w:sz w:val="22"/>
          <w:szCs w:val="22"/>
          <w:lang w:val="fr-FR" w:bidi="ar-SA"/>
        </w:rPr>
        <w:t>.1 - Pénalités de retard</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Par dérogation au CCAG, il n'est prévu aucune exonération à l'application des pénalités journalières de retard.</w:t>
      </w:r>
    </w:p>
    <w:p w:rsidR="00903452" w:rsidRDefault="00FC5F2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retard dans l’exécution de prestations ou la remise de documents, une pénalité de 300 € HT /jour de retard sera appliquée, sans mise en demeure préalable, par dérogation de l’article 14.1 du CCAG –PI.</w:t>
      </w:r>
    </w:p>
    <w:p w:rsidR="00FC5F2F" w:rsidRPr="00FC5F2F" w:rsidRDefault="00FC5F2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11</w:t>
      </w:r>
      <w:r w:rsidR="008A3720" w:rsidRPr="00FC5F2F">
        <w:rPr>
          <w:rFonts w:ascii="Trebuchet MS" w:hAnsi="Trebuchet MS" w:cs="Calibri,Bold"/>
          <w:bCs/>
          <w:color w:val="auto"/>
          <w:sz w:val="22"/>
          <w:szCs w:val="22"/>
          <w:lang w:val="fr-FR" w:bidi="ar-SA"/>
        </w:rPr>
        <w:t>.2 - Pénalité pour travail dissimulé</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Si le titulaire du marché ne s'acquitte pas des formalités prévues par le Code du travail en matière de travail dissimulé</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par dissimulation d'activité ou d'emploi salarié, le pouvoir adjudicateur applique une pénalité correspondant à 10.0 %</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du montant TTC du marché.</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montant de cette pénalité ne pourra toutefois pas excéder le montant des amendes prévues à titre de sanction</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pénale par le Code du travail en matière de travail dissimulé.</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12</w:t>
      </w:r>
      <w:r w:rsidR="008A3720" w:rsidRPr="00FC5F2F">
        <w:rPr>
          <w:rFonts w:ascii="Trebuchet MS" w:hAnsi="Trebuchet MS" w:cs="Calibri,Bold"/>
          <w:b/>
          <w:bCs/>
          <w:color w:val="auto"/>
          <w:sz w:val="22"/>
          <w:szCs w:val="22"/>
          <w:lang w:val="fr-FR" w:bidi="ar-SA"/>
        </w:rPr>
        <w:t xml:space="preserve"> </w:t>
      </w:r>
      <w:r w:rsidR="00903452" w:rsidRPr="00FC5F2F">
        <w:rPr>
          <w:rFonts w:ascii="Trebuchet MS" w:hAnsi="Trebuchet MS" w:cs="Calibri,Bold"/>
          <w:b/>
          <w:bCs/>
          <w:color w:val="auto"/>
          <w:sz w:val="22"/>
          <w:szCs w:val="22"/>
          <w:lang w:val="fr-FR" w:bidi="ar-SA"/>
        </w:rPr>
        <w:t>–</w:t>
      </w:r>
      <w:r w:rsidR="008A3720" w:rsidRPr="00FC5F2F">
        <w:rPr>
          <w:rFonts w:ascii="Trebuchet MS" w:hAnsi="Trebuchet MS" w:cs="Calibri,Bold"/>
          <w:b/>
          <w:bCs/>
          <w:caps/>
          <w:color w:val="auto"/>
          <w:sz w:val="22"/>
          <w:szCs w:val="22"/>
          <w:lang w:val="fr-FR" w:bidi="ar-SA"/>
        </w:rPr>
        <w:t xml:space="preserve"> Assurances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FC5F2F" w:rsidRPr="00FC5F2F" w:rsidRDefault="008A3720"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
          <w:color w:val="auto"/>
          <w:sz w:val="22"/>
          <w:szCs w:val="22"/>
          <w:lang w:val="fr-FR" w:bidi="ar-SA"/>
        </w:rPr>
        <w:t>Conformément aux dispositions de l'article 9 du CCAG-PI, tout titulaire (mandataire et cotraitants inclus) doit justifier,</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dans un délai de 15 jours à compter de la notification du contrat et avant tout commencement d'exécution, qu'il est</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titulaire des contrats d'assurances, au moyen d'une attestation établissant l'étendue de la responsabilité garantie.</w:t>
      </w:r>
      <w:r w:rsidR="00FC5F2F" w:rsidRPr="00FC5F2F">
        <w:rPr>
          <w:rFonts w:ascii="Trebuchet MS" w:hAnsi="Trebuchet MS" w:cs="Calibri,Bold"/>
          <w:bCs/>
          <w:color w:val="auto"/>
          <w:sz w:val="22"/>
          <w:szCs w:val="22"/>
          <w:lang w:val="fr-FR" w:bidi="ar-SA"/>
        </w:rPr>
        <w:t xml:space="preserve"> Il devra donc fournir une attestation de son assureur justifiant qu’il est à jour de ses cotisations et que sa police contient les garanties en rapport avec l’importance de la prestation.</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attestations d'assurance devront couvrir la période du marché et être fournies avant la signature du marché puis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 xml:space="preserve">au cours du marché dans le cas où les attestations ne couvriraient pas </w:t>
      </w:r>
      <w:r w:rsidR="00FC5F2F" w:rsidRPr="00FC5F2F">
        <w:rPr>
          <w:rFonts w:ascii="Trebuchet MS" w:hAnsi="Trebuchet MS" w:cs="Calibri"/>
          <w:color w:val="auto"/>
          <w:sz w:val="22"/>
          <w:szCs w:val="22"/>
          <w:lang w:val="fr-FR" w:bidi="ar-SA"/>
        </w:rPr>
        <w:t>la</w:t>
      </w:r>
      <w:r w:rsidR="00FC5F2F">
        <w:rPr>
          <w:rFonts w:ascii="Trebuchet MS" w:hAnsi="Trebuchet MS" w:cs="Calibri"/>
          <w:color w:val="auto"/>
          <w:sz w:val="22"/>
          <w:szCs w:val="22"/>
          <w:lang w:val="fr-FR" w:bidi="ar-SA"/>
        </w:rPr>
        <w:t xml:space="preserve"> </w:t>
      </w:r>
      <w:r w:rsidR="00FC5F2F" w:rsidRPr="00FC5F2F">
        <w:rPr>
          <w:rFonts w:ascii="Trebuchet MS" w:hAnsi="Trebuchet MS" w:cs="Calibri"/>
          <w:color w:val="auto"/>
          <w:sz w:val="22"/>
          <w:szCs w:val="22"/>
          <w:lang w:val="fr-FR" w:bidi="ar-SA"/>
        </w:rPr>
        <w:t>dite</w:t>
      </w:r>
      <w:r w:rsidRPr="00FC5F2F">
        <w:rPr>
          <w:rFonts w:ascii="Trebuchet MS" w:hAnsi="Trebuchet MS" w:cs="Calibri"/>
          <w:color w:val="auto"/>
          <w:sz w:val="22"/>
          <w:szCs w:val="22"/>
          <w:lang w:val="fr-FR" w:bidi="ar-SA"/>
        </w:rPr>
        <w:t xml:space="preserve"> période au moment de son émission</w:t>
      </w:r>
      <w:r w:rsidR="00FC5F2F">
        <w:rPr>
          <w:rFonts w:ascii="Trebuchet MS" w:hAnsi="Trebuchet MS" w:cs="Calibri"/>
          <w:color w:val="auto"/>
          <w:sz w:val="22"/>
          <w:szCs w:val="22"/>
          <w:lang w:val="fr-FR" w:bidi="ar-SA"/>
        </w:rPr>
        <w:t>.</w:t>
      </w: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A tout moment durant l’exécution de la prestation, le titulaire doit être en mesure de produire cette attestation, sur demande du le pouvoir adjudicateur et dans un délai de quinze jours à compter de la réception de la demande.</w:t>
      </w:r>
    </w:p>
    <w:p w:rsidR="00FC5F2F" w:rsidRDefault="00FC5F2F"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13</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Résiliation du contrat</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13</w:t>
      </w:r>
      <w:r w:rsidR="008A3720" w:rsidRPr="00FC5F2F">
        <w:rPr>
          <w:rFonts w:ascii="Trebuchet MS" w:hAnsi="Trebuchet MS" w:cs="Calibri,Bold"/>
          <w:bCs/>
          <w:color w:val="auto"/>
          <w:sz w:val="22"/>
          <w:szCs w:val="22"/>
          <w:lang w:val="fr-FR" w:bidi="ar-SA"/>
        </w:rPr>
        <w:t>.1 - Conditions de résiliation</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conditions de résiliation du marché sont définies aux articles 29 à 36 du CCAG-PI.</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résiliation du marché pour motif d'intérêt général par le pouvoir adjudicateur, le titulaire percevra à titre</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d'indemnisation une somme forfaitaire calculée en appliquant au montant initial hors TVA, diminué du montant hors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TVA non révisé des prestations admises, un pourcentage égal à 3.0 %.</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d'inexactitude des documents et renseignements mentionnés à l'article 48 du Décret n°2016-360 du 25 mars</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2016, ou de refus de produire les pièces prévues aux articles D. 8222-5 ou D. 8222-7 à 8 du Code du travail</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conformément à l'article 51-III du Décret n°2016-360 du 25 mars 2016, le contrat sera résilié aux torts du titulaire.</w:t>
      </w:r>
    </w:p>
    <w:p w:rsidR="008A3720" w:rsidRPr="00FC5F2F" w:rsidRDefault="008A3720" w:rsidP="008A3720">
      <w:pPr>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pouvoir adjudicateur se réserve la possibilité de faire exécuter par un tiers les prestations aux frais et risques du titulaire</w:t>
      </w: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13</w:t>
      </w:r>
      <w:r w:rsidR="008A3720" w:rsidRPr="00FC5F2F">
        <w:rPr>
          <w:rFonts w:ascii="Trebuchet MS" w:hAnsi="Trebuchet MS" w:cs="Calibri,Bold"/>
          <w:bCs/>
          <w:color w:val="auto"/>
          <w:sz w:val="22"/>
          <w:szCs w:val="22"/>
          <w:lang w:val="fr-FR" w:bidi="ar-SA"/>
        </w:rPr>
        <w:t>.2 - Redressement ou liquidation judiciaire</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jugement instituant le redressement ou la liquidation judiciaire est notifié immédiatement au pouvoir adjudicateur</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par le titulaire du marché. Il en va de même de tout jugement ou décision susceptible d'avoir un effet sur l'exécution</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du marché.</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pouvoir adjudicateur adresse à l'administrateur ou au liquidateur une mise en demeure lui demandant s'il entend</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exiger l'exécution du marché. En cas de redressement judiciaire, cette mise en demeure est adressée au titulaire dans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le cas d'une procédure simplifiée sans administrateur si, en application de l'article L627-2 du Code de commerce, le</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juge commissaire a expressément autorisé celui-ci à exercer la faculté ouverte à l'article L622-13 du Code de</w:t>
      </w:r>
      <w:r w:rsidR="002A09E9"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commerce.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réponse négative ou de l'absence de réponse dans le délai d'un mois à compter de l'envoi de la mise en</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demeure, la résiliation du marché est prononcée. Ce délai d'un mois peut être prolongé ou raccourci si, avant</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 xml:space="preserve">l'expiration dudit délai, le juge commissaire </w:t>
      </w:r>
      <w:r w:rsidRPr="00FC5F2F">
        <w:rPr>
          <w:rFonts w:ascii="Trebuchet MS" w:hAnsi="Trebuchet MS" w:cs="Calibri"/>
          <w:color w:val="auto"/>
          <w:sz w:val="22"/>
          <w:szCs w:val="22"/>
          <w:lang w:val="fr-FR" w:bidi="ar-SA"/>
        </w:rPr>
        <w:lastRenderedPageBreak/>
        <w:t>a accordé à l'administrateur ou au liquidateur une prolongation, ou lui a</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imparti un délai plus court.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La résiliation prend effet à la date de décision de l'administrateur, du liquidateur ou du titulaire de renoncer à</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poursuivre l'exécution du marché, ou à l'expiration du délai d'un mois ci-dessus. Elle n'ouvre droit, pour le titulaire, à</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aucune indemnité.</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14</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Règlement des litiges et langues</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En cas de litige, seul le Tribunal </w:t>
      </w:r>
      <w:r w:rsidR="00612351" w:rsidRPr="00FC5F2F">
        <w:rPr>
          <w:rFonts w:ascii="Trebuchet MS" w:hAnsi="Trebuchet MS" w:cs="Calibri"/>
          <w:color w:val="auto"/>
          <w:sz w:val="22"/>
          <w:szCs w:val="22"/>
          <w:lang w:val="fr-FR" w:bidi="ar-SA"/>
        </w:rPr>
        <w:t>de Grande Instance</w:t>
      </w:r>
      <w:r w:rsidRPr="00FC5F2F">
        <w:rPr>
          <w:rFonts w:ascii="Trebuchet MS" w:hAnsi="Trebuchet MS" w:cs="Calibri"/>
          <w:color w:val="auto"/>
          <w:sz w:val="22"/>
          <w:szCs w:val="22"/>
          <w:lang w:val="fr-FR" w:bidi="ar-SA"/>
        </w:rPr>
        <w:t xml:space="preserve"> de </w:t>
      </w:r>
      <w:r w:rsidR="00903452" w:rsidRPr="00FC5F2F">
        <w:rPr>
          <w:rFonts w:ascii="Trebuchet MS" w:hAnsi="Trebuchet MS" w:cs="Calibri"/>
          <w:color w:val="auto"/>
          <w:sz w:val="22"/>
          <w:szCs w:val="22"/>
          <w:lang w:val="fr-FR" w:bidi="ar-SA"/>
        </w:rPr>
        <w:t xml:space="preserve">Marseille </w:t>
      </w:r>
      <w:r w:rsidRPr="00FC5F2F">
        <w:rPr>
          <w:rFonts w:ascii="Trebuchet MS" w:hAnsi="Trebuchet MS" w:cs="Calibri"/>
          <w:color w:val="auto"/>
          <w:sz w:val="22"/>
          <w:szCs w:val="22"/>
          <w:lang w:val="fr-FR" w:bidi="ar-SA"/>
        </w:rPr>
        <w:t>est compétent en la matière.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Tous les documents, inscriptions sur matériel, correspondances, demandes de paiement ou modes d'emploi doivent</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être entièrement rédigés en langue française ou accompagnés d'une traduction en français, certifiée conforme à</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l'original par un traducteur assermenté.</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15</w:t>
      </w:r>
      <w:r w:rsidR="008A3720" w:rsidRPr="00FC5F2F">
        <w:rPr>
          <w:rFonts w:ascii="Trebuchet MS" w:hAnsi="Trebuchet MS" w:cs="Calibri,Bold"/>
          <w:b/>
          <w:bCs/>
          <w:color w:val="auto"/>
          <w:sz w:val="22"/>
          <w:szCs w:val="22"/>
          <w:lang w:val="fr-FR" w:bidi="ar-SA"/>
        </w:rPr>
        <w:t xml:space="preserve"> </w:t>
      </w:r>
      <w:r w:rsidR="00903452" w:rsidRPr="00FC5F2F">
        <w:rPr>
          <w:rFonts w:ascii="Trebuchet MS" w:hAnsi="Trebuchet MS" w:cs="Calibri,Bold"/>
          <w:b/>
          <w:bCs/>
          <w:color w:val="auto"/>
          <w:sz w:val="22"/>
          <w:szCs w:val="22"/>
          <w:lang w:val="fr-FR" w:bidi="ar-SA"/>
        </w:rPr>
        <w:t>–</w:t>
      </w:r>
      <w:r w:rsidR="008A3720" w:rsidRPr="00FC5F2F">
        <w:rPr>
          <w:rFonts w:ascii="Trebuchet MS" w:hAnsi="Trebuchet MS" w:cs="Calibri,Bold"/>
          <w:b/>
          <w:bCs/>
          <w:color w:val="auto"/>
          <w:sz w:val="22"/>
          <w:szCs w:val="22"/>
          <w:lang w:val="fr-FR" w:bidi="ar-SA"/>
        </w:rPr>
        <w:t xml:space="preserve"> </w:t>
      </w:r>
      <w:r w:rsidR="008A3720" w:rsidRPr="00FC5F2F">
        <w:rPr>
          <w:rFonts w:ascii="Trebuchet MS" w:hAnsi="Trebuchet MS" w:cs="Calibri,Bold"/>
          <w:b/>
          <w:bCs/>
          <w:caps/>
          <w:color w:val="auto"/>
          <w:sz w:val="22"/>
          <w:szCs w:val="22"/>
          <w:lang w:val="fr-FR" w:bidi="ar-SA"/>
        </w:rPr>
        <w:t>Dérogations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L'article 2 du CCAP déroge à l'article 4.1 du CCAG - Prestations Intellectuelles</w:t>
      </w:r>
    </w:p>
    <w:p w:rsidR="00FC5F2F" w:rsidRDefault="00FC5F2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 L'article </w:t>
      </w:r>
      <w:r>
        <w:rPr>
          <w:rFonts w:ascii="Trebuchet MS" w:hAnsi="Trebuchet MS" w:cs="Calibri"/>
          <w:color w:val="auto"/>
          <w:sz w:val="22"/>
          <w:szCs w:val="22"/>
          <w:lang w:val="fr-FR" w:bidi="ar-SA"/>
        </w:rPr>
        <w:t>5.3</w:t>
      </w:r>
      <w:r w:rsidRPr="00FC5F2F">
        <w:rPr>
          <w:rFonts w:ascii="Trebuchet MS" w:hAnsi="Trebuchet MS" w:cs="Calibri"/>
          <w:color w:val="auto"/>
          <w:sz w:val="22"/>
          <w:szCs w:val="22"/>
          <w:lang w:val="fr-FR" w:bidi="ar-SA"/>
        </w:rPr>
        <w:t xml:space="preserve"> du CCAP déroge à l'article </w:t>
      </w:r>
      <w:r>
        <w:rPr>
          <w:rFonts w:ascii="Trebuchet MS" w:hAnsi="Trebuchet MS" w:cs="Calibri"/>
          <w:color w:val="auto"/>
          <w:sz w:val="22"/>
          <w:szCs w:val="22"/>
          <w:lang w:val="fr-FR" w:bidi="ar-SA"/>
        </w:rPr>
        <w:t>6</w:t>
      </w:r>
      <w:r w:rsidRPr="00FC5F2F">
        <w:rPr>
          <w:rFonts w:ascii="Trebuchet MS" w:hAnsi="Trebuchet MS" w:cs="Calibri"/>
          <w:color w:val="auto"/>
          <w:sz w:val="22"/>
          <w:szCs w:val="22"/>
          <w:lang w:val="fr-FR" w:bidi="ar-SA"/>
        </w:rPr>
        <w:t xml:space="preserve"> du CCAG - Prestations Intellectuelles</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L'article 7.1 du CCAP déroge à l'article 11 du CCAG - Prestations Intellectuelles</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 L'article </w:t>
      </w:r>
      <w:r w:rsidR="00FC5F2F">
        <w:rPr>
          <w:rFonts w:ascii="Trebuchet MS" w:hAnsi="Trebuchet MS" w:cs="Calibri"/>
          <w:color w:val="auto"/>
          <w:sz w:val="22"/>
          <w:szCs w:val="22"/>
          <w:lang w:val="fr-FR" w:bidi="ar-SA"/>
        </w:rPr>
        <w:t>9</w:t>
      </w:r>
      <w:r w:rsidRPr="00FC5F2F">
        <w:rPr>
          <w:rFonts w:ascii="Trebuchet MS" w:hAnsi="Trebuchet MS" w:cs="Calibri"/>
          <w:color w:val="auto"/>
          <w:sz w:val="22"/>
          <w:szCs w:val="22"/>
          <w:lang w:val="fr-FR" w:bidi="ar-SA"/>
        </w:rPr>
        <w:t xml:space="preserve"> du CCAP déroge à l'article </w:t>
      </w:r>
      <w:r w:rsidR="00FC5F2F">
        <w:rPr>
          <w:rFonts w:ascii="Trebuchet MS" w:hAnsi="Trebuchet MS" w:cs="Calibri"/>
          <w:color w:val="auto"/>
          <w:sz w:val="22"/>
          <w:szCs w:val="22"/>
          <w:lang w:val="fr-FR" w:bidi="ar-SA"/>
        </w:rPr>
        <w:t>14</w:t>
      </w:r>
      <w:r w:rsidRPr="00FC5F2F">
        <w:rPr>
          <w:rFonts w:ascii="Trebuchet MS" w:hAnsi="Trebuchet MS" w:cs="Calibri"/>
          <w:color w:val="auto"/>
          <w:sz w:val="22"/>
          <w:szCs w:val="22"/>
          <w:lang w:val="fr-FR" w:bidi="ar-SA"/>
        </w:rPr>
        <w:t>.</w:t>
      </w:r>
      <w:r w:rsidR="00FC5F2F">
        <w:rPr>
          <w:rFonts w:ascii="Trebuchet MS" w:hAnsi="Trebuchet MS" w:cs="Calibri"/>
          <w:color w:val="auto"/>
          <w:sz w:val="22"/>
          <w:szCs w:val="22"/>
          <w:lang w:val="fr-FR" w:bidi="ar-SA"/>
        </w:rPr>
        <w:t>1</w:t>
      </w:r>
      <w:r w:rsidRPr="00FC5F2F">
        <w:rPr>
          <w:rFonts w:ascii="Trebuchet MS" w:hAnsi="Trebuchet MS" w:cs="Calibri"/>
          <w:color w:val="auto"/>
          <w:sz w:val="22"/>
          <w:szCs w:val="22"/>
          <w:lang w:val="fr-FR" w:bidi="ar-SA"/>
        </w:rPr>
        <w:t xml:space="preserve"> du CCAG - Prestations Intellectuelles</w:t>
      </w:r>
    </w:p>
    <w:p w:rsidR="00FC5F2F" w:rsidRPr="00FC5F2F" w:rsidRDefault="00FC5F2F" w:rsidP="00FC5F2F">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L'article 10.1 du CCAP déroge à l'article 26.2 du CCAG - Prestations Intellectuelles</w:t>
      </w:r>
    </w:p>
    <w:p w:rsidR="008A3720" w:rsidRPr="00FC5F2F" w:rsidRDefault="008A3720" w:rsidP="008A3720">
      <w:pPr>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L'article 12.1 du CCAP déroge à l'article 14.3 du CCAG - Prestations Intellectuelles</w:t>
      </w:r>
    </w:p>
    <w:p w:rsidR="00FC5F2F" w:rsidRPr="00FC5F2F" w:rsidRDefault="00FC5F2F" w:rsidP="00FC5F2F">
      <w:pPr>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Lu et approuvé</w:t>
      </w:r>
    </w:p>
    <w:p w:rsidR="00FC5F2F" w:rsidRPr="00FC5F2F" w:rsidRDefault="00FC5F2F" w:rsidP="00FC5F2F">
      <w:pPr>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w:t>
      </w:r>
    </w:p>
    <w:p w:rsidR="00FC5F2F" w:rsidRPr="00FC5F2F" w:rsidRDefault="00FC5F2F" w:rsidP="00FC5F2F">
      <w:pPr>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(Signature)</w:t>
      </w:r>
    </w:p>
    <w:p w:rsidR="00FC5F2F" w:rsidRPr="00FC5F2F" w:rsidRDefault="00FC5F2F" w:rsidP="008A3720">
      <w:pPr>
        <w:ind w:left="0"/>
        <w:jc w:val="both"/>
        <w:rPr>
          <w:rFonts w:ascii="Trebuchet MS" w:hAnsi="Trebuchet MS"/>
          <w:sz w:val="22"/>
          <w:szCs w:val="22"/>
          <w:lang w:val="fr-FR"/>
        </w:rPr>
      </w:pPr>
    </w:p>
    <w:sectPr w:rsidR="00FC5F2F" w:rsidRPr="00FC5F2F" w:rsidSect="00B6522A">
      <w:footerReference w:type="default" r:id="rId9"/>
      <w:pgSz w:w="11906" w:h="16838"/>
      <w:pgMar w:top="1418" w:right="1418" w:bottom="970"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D47" w:rsidRDefault="00FB0D47" w:rsidP="004C65D0">
      <w:pPr>
        <w:spacing w:after="0" w:line="240" w:lineRule="auto"/>
      </w:pPr>
      <w:r>
        <w:separator/>
      </w:r>
    </w:p>
  </w:endnote>
  <w:endnote w:type="continuationSeparator" w:id="0">
    <w:p w:rsidR="00FB0D47" w:rsidRDefault="00FB0D47" w:rsidP="004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rPr>
      <w:id w:val="336582563"/>
      <w:docPartObj>
        <w:docPartGallery w:val="Page Numbers (Bottom of Page)"/>
        <w:docPartUnique/>
      </w:docPartObj>
    </w:sdtPr>
    <w:sdtEndPr/>
    <w:sdtContent>
      <w:sdt>
        <w:sdtPr>
          <w:rPr>
            <w:rFonts w:ascii="Trebuchet MS" w:hAnsi="Trebuchet MS"/>
          </w:rPr>
          <w:id w:val="123787606"/>
          <w:docPartObj>
            <w:docPartGallery w:val="Page Numbers (Top of Page)"/>
            <w:docPartUnique/>
          </w:docPartObj>
        </w:sdtPr>
        <w:sdtEndPr/>
        <w:sdtContent>
          <w:p w:rsidR="00FB0D47" w:rsidRPr="006F14B7" w:rsidRDefault="00FB0D47" w:rsidP="006F14B7">
            <w:pPr>
              <w:ind w:left="0"/>
              <w:rPr>
                <w:rFonts w:ascii="Trebuchet MS" w:hAnsi="Trebuchet MS"/>
              </w:rPr>
            </w:pPr>
            <w:r w:rsidRPr="006F14B7">
              <w:rPr>
                <w:rFonts w:ascii="Trebuchet MS" w:hAnsi="Trebuchet MS" w:cs="Calibri"/>
                <w:color w:val="365F92"/>
                <w:lang w:val="fr-FR" w:bidi="ar-SA"/>
              </w:rPr>
              <w:t>05/01/ 2018</w:t>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sidRPr="006F14B7">
              <w:rPr>
                <w:rFonts w:ascii="Trebuchet MS" w:hAnsi="Trebuchet MS"/>
              </w:rPr>
              <w:t xml:space="preserve">Page </w:t>
            </w:r>
            <w:r w:rsidRPr="006F14B7">
              <w:rPr>
                <w:rFonts w:ascii="Trebuchet MS" w:hAnsi="Trebuchet MS"/>
                <w:b/>
              </w:rPr>
              <w:fldChar w:fldCharType="begin"/>
            </w:r>
            <w:r w:rsidRPr="006F14B7">
              <w:rPr>
                <w:rFonts w:ascii="Trebuchet MS" w:hAnsi="Trebuchet MS"/>
                <w:b/>
              </w:rPr>
              <w:instrText>PAGE</w:instrText>
            </w:r>
            <w:r w:rsidRPr="006F14B7">
              <w:rPr>
                <w:rFonts w:ascii="Trebuchet MS" w:hAnsi="Trebuchet MS"/>
                <w:b/>
              </w:rPr>
              <w:fldChar w:fldCharType="separate"/>
            </w:r>
            <w:r w:rsidR="007D79CB">
              <w:rPr>
                <w:rFonts w:ascii="Trebuchet MS" w:hAnsi="Trebuchet MS"/>
                <w:b/>
                <w:noProof/>
              </w:rPr>
              <w:t>1</w:t>
            </w:r>
            <w:r w:rsidRPr="006F14B7">
              <w:rPr>
                <w:rFonts w:ascii="Trebuchet MS" w:hAnsi="Trebuchet MS"/>
                <w:b/>
              </w:rPr>
              <w:fldChar w:fldCharType="end"/>
            </w:r>
            <w:r w:rsidRPr="006F14B7">
              <w:rPr>
                <w:rFonts w:ascii="Trebuchet MS" w:hAnsi="Trebuchet MS"/>
              </w:rPr>
              <w:t xml:space="preserve"> sur </w:t>
            </w:r>
            <w:r w:rsidRPr="006F14B7">
              <w:rPr>
                <w:rFonts w:ascii="Trebuchet MS" w:hAnsi="Trebuchet MS"/>
                <w:b/>
              </w:rPr>
              <w:fldChar w:fldCharType="begin"/>
            </w:r>
            <w:r w:rsidRPr="006F14B7">
              <w:rPr>
                <w:rFonts w:ascii="Trebuchet MS" w:hAnsi="Trebuchet MS"/>
                <w:b/>
              </w:rPr>
              <w:instrText>NUMPAGES</w:instrText>
            </w:r>
            <w:r w:rsidRPr="006F14B7">
              <w:rPr>
                <w:rFonts w:ascii="Trebuchet MS" w:hAnsi="Trebuchet MS"/>
                <w:b/>
              </w:rPr>
              <w:fldChar w:fldCharType="separate"/>
            </w:r>
            <w:r w:rsidR="007D79CB">
              <w:rPr>
                <w:rFonts w:ascii="Trebuchet MS" w:hAnsi="Trebuchet MS"/>
                <w:b/>
                <w:noProof/>
              </w:rPr>
              <w:t>9</w:t>
            </w:r>
            <w:r w:rsidRPr="006F14B7">
              <w:rPr>
                <w:rFonts w:ascii="Trebuchet MS" w:hAnsi="Trebuchet MS"/>
                <w:b/>
              </w:rPr>
              <w:fldChar w:fldCharType="end"/>
            </w:r>
          </w:p>
        </w:sdtContent>
      </w:sdt>
    </w:sdtContent>
  </w:sdt>
  <w:p w:rsidR="00FB0D47" w:rsidRDefault="00FB0D4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D47" w:rsidRDefault="00FB0D47" w:rsidP="004C65D0">
      <w:pPr>
        <w:spacing w:after="0" w:line="240" w:lineRule="auto"/>
      </w:pPr>
      <w:r>
        <w:separator/>
      </w:r>
    </w:p>
  </w:footnote>
  <w:footnote w:type="continuationSeparator" w:id="0">
    <w:p w:rsidR="00FB0D47" w:rsidRDefault="00FB0D47" w:rsidP="004C6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j0115844"/>
      </v:shape>
    </w:pict>
  </w:numPicBullet>
  <w:abstractNum w:abstractNumId="0">
    <w:nsid w:val="0DA40108"/>
    <w:multiLevelType w:val="hybridMultilevel"/>
    <w:tmpl w:val="A8DA2852"/>
    <w:lvl w:ilvl="0" w:tplc="63203526">
      <w:start w:val="1"/>
      <w:numFmt w:val="bullet"/>
      <w:lvlText w:val=""/>
      <w:lvlJc w:val="left"/>
      <w:pPr>
        <w:ind w:left="720" w:hanging="360"/>
      </w:pPr>
      <w:rPr>
        <w:rFonts w:ascii="Symbol" w:hAnsi="Symbol" w:hint="default"/>
      </w:rPr>
    </w:lvl>
    <w:lvl w:ilvl="1" w:tplc="5298EA14">
      <w:numFmt w:val="bullet"/>
      <w:lvlText w:val="-"/>
      <w:lvlJc w:val="left"/>
      <w:pPr>
        <w:ind w:left="1440" w:hanging="360"/>
      </w:pPr>
      <w:rPr>
        <w:rFonts w:ascii="Trebuchet MS" w:eastAsiaTheme="minorHAnsi" w:hAnsi="Trebuchet MS"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D0312C"/>
    <w:multiLevelType w:val="hybridMultilevel"/>
    <w:tmpl w:val="24C0520C"/>
    <w:lvl w:ilvl="0" w:tplc="632035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126F1D"/>
    <w:multiLevelType w:val="multilevel"/>
    <w:tmpl w:val="F15E6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0A37B75"/>
    <w:multiLevelType w:val="hybridMultilevel"/>
    <w:tmpl w:val="08E0D14A"/>
    <w:lvl w:ilvl="0" w:tplc="D010B296">
      <w:start w:val="1"/>
      <w:numFmt w:val="bullet"/>
      <w:lvlText w:val=""/>
      <w:lvlPicBulletId w:val="0"/>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86B4CA6"/>
    <w:multiLevelType w:val="hybridMultilevel"/>
    <w:tmpl w:val="6EC03392"/>
    <w:lvl w:ilvl="0" w:tplc="6320352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646609"/>
    <w:multiLevelType w:val="hybridMultilevel"/>
    <w:tmpl w:val="9B1048A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8C062BB"/>
    <w:multiLevelType w:val="hybridMultilevel"/>
    <w:tmpl w:val="F67219AE"/>
    <w:lvl w:ilvl="0" w:tplc="63203526">
      <w:start w:val="1"/>
      <w:numFmt w:val="bullet"/>
      <w:lvlText w:val=""/>
      <w:lvlJc w:val="left"/>
      <w:pPr>
        <w:ind w:left="2148" w:hanging="360"/>
      </w:pPr>
      <w:rPr>
        <w:rFonts w:ascii="Symbol" w:hAnsi="Symbol" w:hint="default"/>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7">
    <w:nsid w:val="76350EDD"/>
    <w:multiLevelType w:val="multilevel"/>
    <w:tmpl w:val="B610198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396445"/>
    <w:multiLevelType w:val="hybridMultilevel"/>
    <w:tmpl w:val="CD18C64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7B0546D6"/>
    <w:multiLevelType w:val="hybridMultilevel"/>
    <w:tmpl w:val="20CCA82C"/>
    <w:lvl w:ilvl="0" w:tplc="50A0A1D6">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6"/>
  </w:num>
  <w:num w:numId="5">
    <w:abstractNumId w:val="4"/>
  </w:num>
  <w:num w:numId="6">
    <w:abstractNumId w:val="7"/>
  </w:num>
  <w:num w:numId="7">
    <w:abstractNumId w:val="5"/>
  </w:num>
  <w:num w:numId="8">
    <w:abstractNumId w:val="8"/>
  </w:num>
  <w:num w:numId="9">
    <w:abstractNumId w:val="3"/>
  </w:num>
  <w:num w:numId="10">
    <w:abstractNumId w:val="9"/>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720"/>
    <w:rsid w:val="0002335C"/>
    <w:rsid w:val="000D077D"/>
    <w:rsid w:val="000F1A3D"/>
    <w:rsid w:val="001437AC"/>
    <w:rsid w:val="001C67BA"/>
    <w:rsid w:val="001D1ADE"/>
    <w:rsid w:val="00245DEF"/>
    <w:rsid w:val="00276A7C"/>
    <w:rsid w:val="002A09E9"/>
    <w:rsid w:val="002D3065"/>
    <w:rsid w:val="002E42A7"/>
    <w:rsid w:val="003448A4"/>
    <w:rsid w:val="003B71C7"/>
    <w:rsid w:val="0041094A"/>
    <w:rsid w:val="00423BC9"/>
    <w:rsid w:val="004463C6"/>
    <w:rsid w:val="004A5DF4"/>
    <w:rsid w:val="004C65D0"/>
    <w:rsid w:val="00553BEC"/>
    <w:rsid w:val="00560861"/>
    <w:rsid w:val="0056767C"/>
    <w:rsid w:val="00580129"/>
    <w:rsid w:val="00593403"/>
    <w:rsid w:val="005A301E"/>
    <w:rsid w:val="005D71F5"/>
    <w:rsid w:val="006012AE"/>
    <w:rsid w:val="00612351"/>
    <w:rsid w:val="0066272F"/>
    <w:rsid w:val="00675DE5"/>
    <w:rsid w:val="006D0D79"/>
    <w:rsid w:val="006F14B7"/>
    <w:rsid w:val="007A6FC2"/>
    <w:rsid w:val="007D79CB"/>
    <w:rsid w:val="00865D82"/>
    <w:rsid w:val="008746B1"/>
    <w:rsid w:val="008A3720"/>
    <w:rsid w:val="008B7398"/>
    <w:rsid w:val="00903452"/>
    <w:rsid w:val="00935641"/>
    <w:rsid w:val="00950BEC"/>
    <w:rsid w:val="00960A2B"/>
    <w:rsid w:val="009B5D0A"/>
    <w:rsid w:val="009F6DB3"/>
    <w:rsid w:val="00A17D09"/>
    <w:rsid w:val="00A87A9F"/>
    <w:rsid w:val="00A9262E"/>
    <w:rsid w:val="00AD4E0D"/>
    <w:rsid w:val="00AE6373"/>
    <w:rsid w:val="00B6522A"/>
    <w:rsid w:val="00B81A69"/>
    <w:rsid w:val="00BC1204"/>
    <w:rsid w:val="00BF132F"/>
    <w:rsid w:val="00C63359"/>
    <w:rsid w:val="00C63D56"/>
    <w:rsid w:val="00CC14F7"/>
    <w:rsid w:val="00CD21DA"/>
    <w:rsid w:val="00DB683C"/>
    <w:rsid w:val="00E67236"/>
    <w:rsid w:val="00F43552"/>
    <w:rsid w:val="00F7356B"/>
    <w:rsid w:val="00F7446B"/>
    <w:rsid w:val="00F92DCF"/>
    <w:rsid w:val="00FB0D47"/>
    <w:rsid w:val="00FC5F2F"/>
    <w:rsid w:val="00FD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AE"/>
    <w:rPr>
      <w:color w:val="5A5A5A" w:themeColor="text1" w:themeTint="A5"/>
    </w:rPr>
  </w:style>
  <w:style w:type="paragraph" w:styleId="Titre1">
    <w:name w:val="heading 1"/>
    <w:basedOn w:val="Normal"/>
    <w:next w:val="Normal"/>
    <w:link w:val="Titre1Car"/>
    <w:uiPriority w:val="9"/>
    <w:qFormat/>
    <w:rsid w:val="006012AE"/>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semiHidden/>
    <w:unhideWhenUsed/>
    <w:qFormat/>
    <w:rsid w:val="006012AE"/>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6012AE"/>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012AE"/>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012AE"/>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rPr>
      <w:b/>
      <w:bCs/>
      <w:smallCaps/>
      <w:color w:val="1F497D" w:themeColor="text2"/>
      <w:spacing w:val="10"/>
      <w:sz w:val="18"/>
      <w:szCs w:val="18"/>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spacing w:after="0" w:line="240" w:lineRule="auto"/>
    </w:p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qFormat/>
    <w:rsid w:val="006012AE"/>
    <w:pPr>
      <w:ind w:left="720"/>
      <w:contextualSpacing/>
    </w:pPr>
  </w:style>
  <w:style w:type="paragraph" w:styleId="Citation">
    <w:name w:val="Quote"/>
    <w:basedOn w:val="Normal"/>
    <w:next w:val="Normal"/>
    <w:link w:val="CitationCar"/>
    <w:uiPriority w:val="29"/>
    <w:qFormat/>
    <w:rsid w:val="006012AE"/>
    <w:rPr>
      <w:i/>
      <w:iC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BC12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1204"/>
    <w:rPr>
      <w:rFonts w:ascii="Tahoma" w:hAnsi="Tahoma" w:cs="Tahoma"/>
      <w:color w:val="5A5A5A" w:themeColor="text1" w:themeTint="A5"/>
      <w:sz w:val="16"/>
      <w:szCs w:val="16"/>
    </w:rPr>
  </w:style>
  <w:style w:type="paragraph" w:styleId="En-tte">
    <w:name w:val="header"/>
    <w:basedOn w:val="Normal"/>
    <w:link w:val="En-tteCar"/>
    <w:uiPriority w:val="99"/>
    <w:unhideWhenUsed/>
    <w:rsid w:val="004C65D0"/>
    <w:pPr>
      <w:tabs>
        <w:tab w:val="center" w:pos="4536"/>
        <w:tab w:val="right" w:pos="9072"/>
      </w:tabs>
      <w:spacing w:after="0" w:line="240" w:lineRule="auto"/>
    </w:pPr>
  </w:style>
  <w:style w:type="character" w:customStyle="1" w:styleId="En-tteCar">
    <w:name w:val="En-tête Car"/>
    <w:basedOn w:val="Policepardfaut"/>
    <w:link w:val="En-tte"/>
    <w:uiPriority w:val="99"/>
    <w:rsid w:val="004C65D0"/>
    <w:rPr>
      <w:color w:val="5A5A5A" w:themeColor="text1" w:themeTint="A5"/>
    </w:rPr>
  </w:style>
  <w:style w:type="paragraph" w:styleId="Pieddepage">
    <w:name w:val="footer"/>
    <w:basedOn w:val="Normal"/>
    <w:link w:val="PieddepageCar"/>
    <w:uiPriority w:val="99"/>
    <w:unhideWhenUsed/>
    <w:rsid w:val="004C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5D0"/>
    <w:rPr>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AE"/>
    <w:rPr>
      <w:color w:val="5A5A5A" w:themeColor="text1" w:themeTint="A5"/>
    </w:rPr>
  </w:style>
  <w:style w:type="paragraph" w:styleId="Titre1">
    <w:name w:val="heading 1"/>
    <w:basedOn w:val="Normal"/>
    <w:next w:val="Normal"/>
    <w:link w:val="Titre1Car"/>
    <w:uiPriority w:val="9"/>
    <w:qFormat/>
    <w:rsid w:val="006012AE"/>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semiHidden/>
    <w:unhideWhenUsed/>
    <w:qFormat/>
    <w:rsid w:val="006012AE"/>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6012AE"/>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012AE"/>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012AE"/>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rPr>
      <w:b/>
      <w:bCs/>
      <w:smallCaps/>
      <w:color w:val="1F497D" w:themeColor="text2"/>
      <w:spacing w:val="10"/>
      <w:sz w:val="18"/>
      <w:szCs w:val="18"/>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spacing w:after="0" w:line="240" w:lineRule="auto"/>
    </w:p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qFormat/>
    <w:rsid w:val="006012AE"/>
    <w:pPr>
      <w:ind w:left="720"/>
      <w:contextualSpacing/>
    </w:pPr>
  </w:style>
  <w:style w:type="paragraph" w:styleId="Citation">
    <w:name w:val="Quote"/>
    <w:basedOn w:val="Normal"/>
    <w:next w:val="Normal"/>
    <w:link w:val="CitationCar"/>
    <w:uiPriority w:val="29"/>
    <w:qFormat/>
    <w:rsid w:val="006012AE"/>
    <w:rPr>
      <w:i/>
      <w:iC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BC12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1204"/>
    <w:rPr>
      <w:rFonts w:ascii="Tahoma" w:hAnsi="Tahoma" w:cs="Tahoma"/>
      <w:color w:val="5A5A5A" w:themeColor="text1" w:themeTint="A5"/>
      <w:sz w:val="16"/>
      <w:szCs w:val="16"/>
    </w:rPr>
  </w:style>
  <w:style w:type="paragraph" w:styleId="En-tte">
    <w:name w:val="header"/>
    <w:basedOn w:val="Normal"/>
    <w:link w:val="En-tteCar"/>
    <w:uiPriority w:val="99"/>
    <w:unhideWhenUsed/>
    <w:rsid w:val="004C65D0"/>
    <w:pPr>
      <w:tabs>
        <w:tab w:val="center" w:pos="4536"/>
        <w:tab w:val="right" w:pos="9072"/>
      </w:tabs>
      <w:spacing w:after="0" w:line="240" w:lineRule="auto"/>
    </w:pPr>
  </w:style>
  <w:style w:type="character" w:customStyle="1" w:styleId="En-tteCar">
    <w:name w:val="En-tête Car"/>
    <w:basedOn w:val="Policepardfaut"/>
    <w:link w:val="En-tte"/>
    <w:uiPriority w:val="99"/>
    <w:rsid w:val="004C65D0"/>
    <w:rPr>
      <w:color w:val="5A5A5A" w:themeColor="text1" w:themeTint="A5"/>
    </w:rPr>
  </w:style>
  <w:style w:type="paragraph" w:styleId="Pieddepage">
    <w:name w:val="footer"/>
    <w:basedOn w:val="Normal"/>
    <w:link w:val="PieddepageCar"/>
    <w:uiPriority w:val="99"/>
    <w:unhideWhenUsed/>
    <w:rsid w:val="004C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5D0"/>
    <w:rPr>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3308</Words>
  <Characters>18198</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Hôpital Saint-Joseph</Company>
  <LinksUpToDate>false</LinksUpToDate>
  <CharactersWithSpaces>21464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Vayssiere</dc:creator>
  <cp:lastModifiedBy>FARGIER Paul</cp:lastModifiedBy>
  <cp:revision>2</cp:revision>
  <cp:lastPrinted>2017-06-27T17:04:00Z</cp:lastPrinted>
  <dcterms:created xsi:type="dcterms:W3CDTF">2018-03-19T08:54:00Z</dcterms:created>
  <dcterms:modified xsi:type="dcterms:W3CDTF">2018-03-19T08:54:00Z</dcterms:modified>
</cp:coreProperties>
</file>